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AARP/162/2020 vom 17. April 2020</w:t>
      </w:r>
    </w:p>
    <w:p>
      <w:r>
        <w:t>GE Cour de justice, 2020-04-17, FR</w:t>
      </w:r>
    </w:p>
    <w:p>
      <w:r>
        <w:rPr>
          <w:b/>
        </w:rPr>
        <w:t xml:space="preserve">Quelle: </w:t>
      </w:r>
      <w:r>
        <w:t>https://mcp.opencaselaw.ch/entscheid/ge_gerichte_AARP_162_2020</w:t>
      </w:r>
    </w:p>
    <w:p>
      <w:r>
        <w:t>FR: GE_GERICHTE AARP/162/2020 du 17 avril 2020</w:t>
      </w:r>
    </w:p>
    <w:p>
      <w:r>
        <w:t>IT: GE_GERICHTE AARP/162/2020 del 17 aprile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Le faux dans les certificats (art. 252 CP) et l’infraction à l’art. 19 al. 1 LStup sont punis d’une peine privative de liberté de trois ans au plus ou d’une peine pécuniaire, et l’infraction à l’art. 115 al. 1 LEI d’une peine privative de liberté d’un an au plus ou d’une peine pécuniaire.</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- 5/10 - P/3964/2019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2.2</w:t>
      </w:r>
    </w:p>
    <w:p>
      <w:r>
        <w:t>L'art. 34 al. 1 CP, 1ère phrase, prévoit que, sauf disposition contraire, la peine pécuniaire est de trois jours-amende au moins et ne peut excéder 180 jours-amende (art. 34 al. 1 CP, 1ère phrase). Selon l'art. 41 al. 1 CP, le juge peut prononcer une peine privative de liberté à la place d’une peine pécuniaire si (a) une peine privative de liberté paraît justifiée pour détourner l’auteur d’autres crimes ou délits, ou si (b) il y a lieu de craindre qu’une peine pécuniaire ne puisse pas être exécutée. Il doit motiver le choix de la peine privative de liberté de manière circonstanciée (al. 2).</w:t>
      </w:r>
    </w:p>
    <w:p>
      <w:r>
        <w:rPr>
          <w:b/>
        </w:rPr>
        <w:t>E. 2.3</w:t>
      </w:r>
    </w:p>
    <w:p>
      <w:r>
        <w:t>Selon l’art. 49 al. 1 CP, 1ère phrase,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2.4.1. En l’espèce, la faute de l’appelant relative à l’infraction abstraitement et concrètement la plus grave, soit la vente de 15 grammes de cocaïne, ne peut pas être qualifiée de légère. Une telle quantité n’est pas négligeable et reflète l’activité d’un vendeur régulier. Quoique dans une situation précaire en Suisse, le prévenu ne se trouvait pas sans autre source potentielle de gain, ayant en particulier allégué en</w:t>
      </w:r>
    </w:p>
    <w:p>
      <w:r>
        <w:t>- 6/10 - P/3964/2019 appel avoir occupé des emplois rémunérés autant au Portugal qu’à Genève. Il a ainsi agi par appât du gain facile sans égard pour la santé des consommateurs. Sa collaboration a été moyenne dans la mesure où il a contesté la vente de drogue puis l’ampleur des transactions en cause. Contrairement à ce qu’il soutient en appel, il ne ressort du dossier ni intégration ni amendement réels. Il est douteux que les pièces produites reflètent sa situation, dès lors qu’elles sont toutes établies sous une autre identité qu’il n’a mentionnée à aucun moment durant la procédure préliminaire. Même à les prendre en considération, il en résulte que l’appelant fait usage d’une autre identité, notamment pour travailler sporadiquement à Genève ou au Portugal, et que sa situation reste des plus opaques. Au vu des éléments qui précèdent, la seule infraction à l’art. 19 al. 1 LStup doit être sanctionnée par une peine de 80 unités pénales au minimum et le choix d’une peine pécuniaire est exclu par l’absence de revenus stables, de domicile ou résidence connus et d'identité déterminée. 2.4.2. Par identité de motifs, l’appelant sera aussi condamné à une peine privative de liberté pour le faux dans les certificats et l’infraction à la LEI. Sa faute en relation avec ces deux délits est de gravité moyenne. Il a en effet, d’une part, tenté de tromper les autorités sur son statut en utilisant la carte d’identité d’un tiers et, d’autre part, séjourné en Suisse pendant plusieurs mois sans effectuer la moindre démarche pour régulariser sa situation sous son vrai nom, ne serait-ce qu’en poursuivant la procédure d’asile initiée à son arrivée, manifestant ainsi un mépris des normes régulant le séjour des étrangers. Comme vu ci-avant, aucune réelle prise de conscience de sa faute ne ressort de la procédure dans la mesure où, à suivre ses explications en appel, il continuerait à venir en Suisse en utilisant une autre identité. Il ne sera par contre pas retenu à charge une mauvaise collaboration, les faits qui lui étaient reprochés ayant été admis. Au vu de l’effet aggravant du concours, la peine privative de liberté de 90 jours fixée par le premier juge est conforme au droit et sera confirmée. Le sursis est pour le surplus acquis à l’appelant (art. 391 al. 2 CPP). 2.4.3. Il en ira de même de l’amende de CHF 100.-, respectivement de la peine privative de substitution d’un jour, prononcée en rapport avec la possession de marijuana de manière conforme au droit, plus particulièrement à la faute assez légère de l’appelant à cet égard (art. 106 al. 1 à 3 CP).</w:t>
      </w:r>
    </w:p>
    <w:p>
      <w:r>
        <w:rPr>
          <w:b/>
        </w:rPr>
        <w:t>E. 3</w:t>
      </w:r>
    </w:p>
    <w:p>
      <w:r>
        <w:t>L'appelant, qui succombe, supportera les frais de la procédure envers l'État (art. 428 CPP), qui comprendront un émolument de CHF 1'200.- (art. 14 al. 1 let. e du règlement fixant le tarif des frais en matière pénale du 22 décembre 2010 [RTFMP - E 4 10.03]).</w:t>
      </w:r>
    </w:p>
    <w:p>
      <w:r>
        <w:t>- 7/10 - P/3964/2019</w:t>
      </w:r>
    </w:p>
    <w:p>
      <w:r>
        <w:rPr>
          <w:b/>
        </w:rPr>
        <w:t>E. 4.1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En l’espèce, le défenseur d’office de l’appelant n’ayant produit aucun état de frais bien que dûment invitée à le faire, son indemnité sera arrêtée ex aequo et bono au montant arrondi de CHF 650.-, correspondant à 2h30 d’activité pour la rédaction du mémoire d’appel (CHF 500.-), le forfait de 20% pour activités diverses (CHF 100.-) et la TVA de 7.7% (CHF 46.20). * * * * *</w:t>
      </w:r>
    </w:p>
    <w:p>
      <w:r>
        <w:t>- 8/10 - P/3964/2019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