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AARP/162/2018 vom 22. Mai 2018</w:t>
      </w:r>
    </w:p>
    <w:p>
      <w:r>
        <w:t>GE Cour de justice, 2018-05-22, FR</w:t>
      </w:r>
    </w:p>
    <w:p>
      <w:r>
        <w:rPr>
          <w:b/>
        </w:rPr>
        <w:t xml:space="preserve">Quelle: </w:t>
      </w:r>
      <w:r>
        <w:t>https://mcp.opencaselaw.ch/entscheid/ge_gerichte_AARP_162_2018</w:t>
      </w:r>
    </w:p>
    <w:p>
      <w:r>
        <w:t>FR: GE_GERICHTE AARP/162/2018 du 22 mai 2018</w:t>
      </w:r>
    </w:p>
    <w:p>
      <w:r>
        <w:t>IT: GE_GERICHTE AARP/162/2018 del 22 maggio 2018</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w:t>
      </w:r>
    </w:p>
    <w:p>
      <w:r>
        <w:t>- 7/15 - P/19617/2016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w:t>
      </w:r>
    </w:p>
    <w:p>
      <w:r>
        <w:rPr>
          <w:b/>
        </w:rPr>
        <w:t>E. 2.2</w:t>
      </w:r>
    </w:p>
    <w:p>
      <w:r>
        <w:t>Lorsque l'appréciation des preuves et la constatation des faits sont critiquées en référence au principe in dubio pro reo, celui-ci n'a pas de portée plus large que l'interdiction de l'arbitraire (ATF 138 V 74 consid. 7 p. 82).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t>2.3.1. Le droit d'être entendu, tel qu'il est garanti par l'art. 29 al. 2 Cst., comprend notamment pour le justiciable le droit de s'exprimer sur les éléments pertinents avant qu'une décision ne soit prise touchant sa situation juridique, d'obtenir l'administration</w:t>
      </w:r>
    </w:p>
    <w:p>
      <w:r>
        <w:t>- 8/15 - P/19617/2016 des preuves pertinentes et valablement offertes, de participer à l'administration des preuves essentielles et de se déterminer sur son résultat lorsque cela est de nature à influer sur la décision à rendre (ATF 142 II 218 consid. 2.3 p. 222 s. ; 140 I 285 consid. 6.3.1 p. 299).</w:t>
      </w:r>
    </w:p>
    <w:p>
      <w:r>
        <w:t>2.3.2.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arrêt du Tribunal fédéral 1B_24/2015 du 19 février 2015 consid. 2.1).</w:t>
      </w:r>
    </w:p>
    <w:p>
      <w:r>
        <w:rPr>
          <w:b/>
        </w:rPr>
        <w:t>E. 3</w:t>
      </w:r>
    </w:p>
    <w:p>
      <w:r>
        <w:t>mars 2015, le chauffeur remplaçant n'a été en mesure que de produire une copie d'une licence de transport échue. Ni l'attestation de D______, rédigée deux ans après les faits, ni les autres pièces produites par l'appelant ne prouvent l'existence à l'intérieur du camion d'une copie de la licence en cours de validité. En particulier, le document intitulé "paiement des licences", mentionnant la date ultérieure du 17 mars 2015 en relation avec la somme totale de CHF 800.- pour l'obtention de la licence et des copies, ne permet pas de parvenir à une autre conclusion. Il est ainsi retenu, avec le premier juge, que lors du contrôle de licence du 3 mars 2015, le chauffeur remplaçant n'a pas été en mesure de présenter une copie authentifiée valable de la licence de transport. 3.5.2. L'appelant n'effectue pas personnellement de transports de marchandises par camion et n'exploite pas à titre personnel l'entreprise de transport de marchandises. Celle-ci est exploitée par une société à responsabilité limitée qui revêt ainsi à la fois la qualité de chef de l'entreprise et d'employeur des chauffeurs. Il s'ensuit que l'on se trouve dans l'hypothèse visée par l'art. 6 al. 3 aDPA. En tant que gérant-associé et président de la société, l'appelant agissait toutefois en qualité d'organe de l'employeur. 3.5.3. Il convient donc d'examiner si l'appelant, en tant qu'organe a, par son omission, violé une obligation juridique au sens de l'art. 6 al. 2 aDPA. L'art. 3 al. 3 aLEnTR exigeant que chaque véhicule de l’entreprise doive être muni en permanence d’une copie certifiée de la licence, C______ était juridiquement tenue d'en assurer le respect. L'appelant, en tant qu'associé-gérant et président de ladite société, assumait ainsi une obligation de surveillance spécifique s'agissant de la présence de ces copies à l'intérieur des camions de la société. Certes, l'appelant a obtenu 25 copies de la licence pour 22 camions, a mis en place des procédures internes visant à instruire les chauffeurs de l'emplacement des</w:t>
      </w:r>
    </w:p>
    <w:p>
      <w:r>
        <w:t>- 11/15 - P/19617/2016 documents nécessaires en cas de contrôle, dont la copie en question, et les a enjoints à le contacter en cas de problème. Par le passé, C______ a toutefois fait l'objet de neuf rapports de police constatant le défaut de présentation d'une copie authentifiée valable de la licence de transport, et a été sanctionnée à trois reprises, ce que l'appelant ne pouvait ignorer. Il aurait, au contraire, dû se rendre compte que les procédures mises en place jusqu'alors étaient inefficaces ou, du moins, mises en œuvre de manière insatisfaisante. Il ne suffit en effet pas de disposer d'un nombre supérieur de copies que de camions. Encore faut-il notamment maintenir la validité de la licence, distribuer les copies dans les camions, les transférer en cas de panne ou acquisition d'un nouveau véhicule, veiller à la bonne instruction de tous les chauffeurs et définir des procédures de contrôle permettant d'assurer la présence permanente des documents requis à l'intérieur des véhicules. A cet égard, il est hautement douteux que l'appelant ait pu résoudre le problème s'il avait été contacté, dans la mesure où le chauffeur remplaçant a bien été en mesure de produire une copie de la licence, celle-ci étant pourtant échue, ce qui démontre qu'il a bien cherché un document présent dans le camion. L'appelant a depuis lors modifié les procédures internes, exigeant dorénavant de chaque chauffeur qu'il atteste avoir reçu tous les documents nécessaires lors d'un contrôle. Il n'était donc pas, au moment des faits, "matériellement impossible" de prendre d'autres mesures pour assurer la présence d'une copie de la licence dans les camions. L'appelant a lui-même développé par la suite un mécanisme de contrôle supplémentaire devant lui permettre, selon lui, de satisfaire aux obligations légales de l'employeur sans qu'il ne soit nécessaire de "s'assurer tous les jours que tous les camions de C______ sont bien munis d'une copie". Il s'ensuit que l'appelant a omis par négligence de prendre toutes les mesures nécessaires pour que chaque chauffeur soit en mesure de présenter une copie authentifiée de la licence de transport en cas de contrôle, à tout le moins le 3 mars 2015. 3.5.4. Au vu de ce qui précède, l'appelant sera reconnu coupable d'infraction à l'art. 11 let. b aLEnTR, le jugement querellé confirmé et l'appel rejeté.</w:t>
      </w:r>
    </w:p>
    <w:p>
      <w:r>
        <w:rPr>
          <w:b/>
        </w:rPr>
        <w:t>E. 3.3</w:t>
      </w:r>
    </w:p>
    <w:p>
      <w:r>
        <w:t>L'art. 12 aLEnTR (dans sa teneur – restée identique – à l'époque des faits) prévoit que l’OFT est compétent pour poursuivre et juger les auteurs des infractions aux dispositions de l’art. 11 (al. 1). La procédure est régie par la DPA (al. 2).</w:t>
      </w:r>
    </w:p>
    <w:p>
      <w:r>
        <w:rPr>
          <w:b/>
        </w:rPr>
        <w:t>E. 3.4</w:t>
      </w:r>
    </w:p>
    <w:p>
      <w:r>
        <w:t>Selon l'art. 6 aDPA (dans sa teneur – restée identique – à l'époque des faits),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t>La violation d'une obligation juridique au sens de l'art. 6 al. 2 DPA suppose une position de garant, soit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(arrêt du Tribunal fédéral 6B_189/2009 du 20 mai 2009 consid. 3.2.3).</w:t>
      </w:r>
    </w:p>
    <w:p>
      <w:r>
        <w:t>Le comportement qui est reproché au chef d'entreprise consiste ainsi à ne pas avoir évité la commission d’une infraction par un ou plusieurs subordonnés, alors qu’il aurait pu empêcher sa survenance, s’il avait agi conformément à son devoir juridique d’agir. L’art. 6 al. 2 DPA peut être appliqué en relation avec une infraction pénale d’une loi fédérale à laquelle s’applique la DPA. Par conséquent, l’art. 6 al. 2 DPA présuppose certes la position de garant du chef d’entreprise, mais celle-ci doit être concrétisée dans chaque cas d’espèce en fonction notamment de l’infraction commise par le subordonné et les risques typiques et spécifiques de l’activité de l’entreprise (Fabio BURGENER, La responsabilité pénale de l'entreprise, RPS 133/2015, p. 377 et 387). 3.5.1. En l'occurrence, le premier juge n'a certes pas évoqué les pièces que l'appelant a produites par bordereau séparé lors de l'audience de jugement. Toutefois, à supposer que son droit d'être entendu eût ainsi été violé par le Tribunal de police, force est de constater qu'il a pu être réparé devant la cour cantonale. En effet, l'appel</w:t>
      </w:r>
    </w:p>
    <w:p>
      <w:r>
        <w:t>- 10/15 - P/19617/2016 ayant un effet dévolutif complet, l'appelant a eu la possibilité de faire valoir ses arguments devant la CPAR. Il apparaît en outre que le vice n'est pas particulièrement grave et que le renvoi de la cause à l'instance inférieure, auquel l'appelant ne conclut au demeurant pas, constituerait une vaine formalité prolongeant la procédure de manière incompatible avec l'intérêt de l'appelant à ce que sa cause soit tranchée dans un délai raisonnable. La CPAR dispose en effet de tous les éléments lui permettant de prendre une décision au fond.</w:t>
      </w:r>
    </w:p>
    <w:p>
      <w:r>
        <w:t>Il ressort du dossier que C______ détenait 25 copies de la licence de transport pour 22 véhicules poids lourds. Il n'en découle pas automatiquement que chaque camion disposait effectivement d'un exemplaire valable de ladite copie. Preuve en est que, le</w:t>
      </w:r>
    </w:p>
    <w:p>
      <w:r>
        <w:rPr>
          <w:b/>
        </w:rPr>
        <w:t>E. 4.1</w:t>
      </w:r>
    </w:p>
    <w:p>
      <w:r>
        <w:t>L'art. 2 aDPA (dans sa teneur – restée identique – à l'époque des faits) dispose que les dispositions générales du CP sont applicables aux actes réprimés par la législation administrative fédérale, à moins que la DPA ou une loi administrative spéciale n'en dispose autrement.</w:t>
      </w:r>
    </w:p>
    <w:p>
      <w:r>
        <w:rPr>
          <w:b/>
        </w:rPr>
        <w:t>E. 4.2</w:t>
      </w:r>
    </w:p>
    <w:p>
      <w:r>
        <w:t>A teneur de l'art. 52 CP, si la culpabilité de l'auteur et les conséquences de son acte sont peu importantes, l'autorité compétente renonce à le poursuivre, à le renvoyer devant le juge ou à lui infliger une peine.</w:t>
      </w:r>
    </w:p>
    <w:p>
      <w:r>
        <w:t>- 12/15 - P/19617/2016 4.3.1. Selon l'art. 8 aDPA (dans sa teneur – restée identique – à l'époque des faits), les amendes n'excédant pas CHF 5'000.- sont fixées selon la gravité de l'infraction et de la faute ; il n'est pas nécessaire de tenir compte d'autres éléments d'appréciation.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(ATF 141 IV 61 consid. 6.1.1 p. 66 s. ; 136 IV 55 consid. 5 p. 57 ss ; 134 IV 17 consid. 2.1 p. 19 ss ; 129 IV 6 consid. 6.1 p. 20).</w:t>
      </w:r>
    </w:p>
    <w:p>
      <w:r>
        <w:t>4.3.2. Lorsque seules des contraventions on fait l'objet de la procédure de première instance, la cognition de la juridiction d'appel s'agissant du contrôle de la fixation de la peine correspond à celle du Tribunal fédéral. Tant que la peine prononcée par le premier juge apparaît comme défendable, aucune correction de la quotité de la peine ne sera effectuée (A. DONATSCH / T. HANSJAKOB / V. LIEBER, Kommentar zur Schweizerischen Strafprozessordnung (StPO), 2e éd., Zurich/Bâle/Genève 2014, n. 23 ad art. 398).</w:t>
      </w:r>
    </w:p>
    <w:p>
      <w:r>
        <w:rPr>
          <w:b/>
        </w:rPr>
        <w:t>E. 4.4</w:t>
      </w:r>
    </w:p>
    <w:p>
      <w:r>
        <w:t>Conformément à l'art. 106 al. 2 CP, le juge prononce dans son jugement, pour le cas où, de manière fautive, le condamné ne paie pas l'amende, une peine privative de liberté de substitution d'un jour au moins et de trois mois au plus.</w:t>
      </w:r>
    </w:p>
    <w:p>
      <w:r>
        <w:rPr>
          <w:b/>
        </w:rPr>
        <w:t>E. 4.5</w:t>
      </w:r>
    </w:p>
    <w:p>
      <w:r>
        <w:t>En l'espèce, la faute de l'appelant n'est pas anodine. Il n'a pas tenu compte des précédents avertissements et condamnations intervenues pour des faits similaires, ne cherchant pas à mettre en place des procédures de contrôle strictes et effectives permettant d'être en conformité avec la loi en cas d'un nouveau contrôle. Il a, au contraire, persisté à enfreindre la loi en matière de transport de marchandises, ce qui dénote en définitive un manque certain de considération pour le respect de la législation en vigueur.</w:t>
      </w:r>
    </w:p>
    <w:p>
      <w:r>
        <w:t>Il ressort de son casier judiciaire plusieurs autres antécédents liés à son activité dans le domaine du transport par route.</w:t>
      </w:r>
    </w:p>
    <w:p>
      <w:r>
        <w:t>Dans de telles circonstances, l'appelant ne pourra être mis au bénéfice de l'art. 52 CP.</w:t>
      </w:r>
    </w:p>
    <w:p>
      <w:r>
        <w:t>Les conditions personnelles et notamment financières du prévenu sont des considérations facultatives pour la fixation de l'amende en droit pénal administratif lorsque celle-ci n'excède pas CHF 5'000.-.</w:t>
      </w:r>
    </w:p>
    <w:p>
      <w:r>
        <w:t>- 13/15 - P/19617/2016</w:t>
      </w:r>
    </w:p>
    <w:p>
      <w:r>
        <w:t>Au vu de ce qui précède, l'amende de CHF 2'000.- prononcée par le premier juge, de même que la peine privative de liberté de substitution de vingt jours, apparaissent comme un signal clair donné à l'appelant et seront confirmées.</w:t>
      </w:r>
    </w:p>
    <w:p>
      <w:r>
        <w:rPr>
          <w:b/>
        </w:rPr>
        <w:t>E. 5</w:t>
      </w:r>
    </w:p>
    <w:p>
      <w:r>
        <w:t>L'appelant, qui succombe, supportera les frais de la procédure d'appel, qui comprennent un émolument de jugement de CHF 1'000.- (art. 428 al. 1 CPP et art. 14 al. 1 let. e du règlement fixant le tarif des frais en matière pénale du 22 décembre 2010 [RTFMP ; RS/GE E 4 10.03]).</w:t>
      </w:r>
    </w:p>
    <w:p>
      <w:r>
        <w:rPr>
          <w:b/>
        </w:rPr>
        <w:t>E. 6</w:t>
      </w:r>
    </w:p>
    <w:p>
      <w:r>
        <w:t>Vu l'issue de la procédure d'appel, les conclusions en indemnisation de l'appelant seront rejetées (art. 429 CPP). * * * * *</w:t>
      </w:r>
    </w:p>
    <w:p>
      <w:r>
        <w:t>- 14/15 - P/19617/2016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