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AARP/161/2023 vom 8. Mai 2023</w:t>
      </w:r>
    </w:p>
    <w:p>
      <w:r>
        <w:t>GE Cour de justice, 2023-05-08, FR</w:t>
      </w:r>
    </w:p>
    <w:p>
      <w:r>
        <w:rPr>
          <w:b/>
        </w:rPr>
        <w:t xml:space="preserve">Quelle: </w:t>
      </w:r>
      <w:r>
        <w:t>https://mcp.opencaselaw.ch/entscheid/ge_gerichte_AARP_161_2023</w:t>
      </w:r>
    </w:p>
    <w:p>
      <w:r>
        <w:t>FR: GE_GERICHTE AARP/161/2023 du 8 mai 2023</w:t>
      </w:r>
    </w:p>
    <w:p>
      <w:r>
        <w:t>IT: GE_GERICHTE AARP/161/2023 del 8 maggio 2023</w:t>
      </w:r>
    </w:p>
    <w:p>
      <w:pPr>
        <w:pStyle w:val="Heading2"/>
      </w:pPr>
      <w:r>
        <w:t>Erwägungen</w:t>
      </w:r>
    </w:p>
    <w:p>
      <w:r>
        <w:rPr>
          <w:b/>
        </w:rPr>
        <w:t>E. 20</w:t>
      </w:r>
    </w:p>
    <w:p>
      <w:r>
        <w:t>mars 2023 : entretien avec cliente sur appel-joint, 60 minutes ; - 11 avril 2023 : entretien visio avec cliente sur retrait d'appel, dix minutes ; Procédure : - 14 mars 2023 : prise de connaissance de l'appel du prévenu, cinq minutes ;</w:t>
      </w:r>
    </w:p>
    <w:p>
      <w:r>
        <w:t>- 3/6 - P/14938/21 -</w:t>
      </w:r>
    </w:p>
    <w:p>
      <w:r>
        <w:rPr>
          <w:b/>
        </w:rPr>
        <w:t>E. 22</w:t>
      </w:r>
    </w:p>
    <w:p>
      <w:r>
        <w:t>mars 2023 : prise de connaissance de l'appel-joint du MP, cinq minutes ; - 3 avril 2023 : revue dossier et jugement Tcor pour appel joint 30 minutes ; - 3 avril 2023 : rédaction appel-joint et réquisitions de preuves, 180 minutes ; - 11 avril 2023 : prise connaissance retrait appel du prévenu, cinq minutes. Que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 Qu'on exige de l'avocat qu'il soit expéditif et efficace dans son travail et qu'il concentre son attention sur les points essentiels, des démarches superflues ou excessives n'ayant pas à être indemnisées (AARP/132/2023 du 31 mars 2023 consid. 7.1) ; Que seules les heures nécessaires sont ainsi retenues, celles-ci étant appréciées en fonction notamment de la nature, de l'importance et des difficultés de la cause, de la valeur litigieuse, de la qualité du travail fourni et du résultat obtenu (art. 16 al. 2 RAJ) ; Que l'activité consacrée aux conférences, audiences et autres actes de la procédure est, en principe, majorée de 10% lorsque l'état de frais porte sur plus de 30 heures, pour couvrir les démarches diverses, tels la rédaction de courriers, de notes ou d'autres documents ne nécessitant pas ou peu de motivation ou autre investissement particulier en termes de travail juridique, comme l'annonce d'appel et la déclaration d'appel, les entretiens téléphoniques et la lecture de communications, pièces et décisions (arrêt du Tribunal fédéral 6B_838/2015 du 25 juillet 2016 consid. 3.5.2 ; ordonnance de la Cour des plaintes du Tribunal pénal fédéral BB.2014.51 du 21 novembre 2014 consid. 2.1 ; AARP/181/2017 du 30 mai 2017 consid. 8.2.3 ; AARP/184/2016 du 28 avril 2016 consid. 5.2.3.2 et 5.3.1) ; Qu'il convient en conséquence de retrancher de l'état de frais de Me C______ le poste "procédure", lequel est couvert par le forfait, ainsi que l'entretien client au tarif de chef d'étude du 24 mars 2023 et celui au tarif d'avocat-stagiaire du 24 février 2023, un entretien par mois apparaissant suffisant ; Que l'indemnisation du défenseur d'office sera ainsi arrêtée à CHF 1'421.65 correspondant à six heures au tarif de chef d'étude (CHF 200.-/heure), plus la majoration forfaitaire de 10%, l'état de frais taxé en première instance ayant porté sur plus de 30 heures, et l'équivalent de la TVA au taux de 7.7% en CHF 101.65 ; Qu'il convient en conséquence de retrancher de l'état de frais de Me E______ l'intégralité des postes mentionnés sous procédure, ceux-ci étant couverts par le forfait, et de ne retenir que l'entretien de 60 minutes du 20 mars 2023, celui du 11 avril 2023 étant également</w:t>
      </w:r>
    </w:p>
    <w:p>
      <w:r>
        <w:t>- 4/6 - P/14938/21 couvert par le forfait, plus la majoration forfaitaire de 10% (et non pas de 20 % comme indiqué dans la note d'honoraires), l'état de frais taxé en première instance ayant porté sur plus de 30 heures, étant précisé qu'à teneur de ce dernier la TVA ne doit pas être prise en considération ; Que l'indemnisation du conseil juridique gratuit sera ainsi arrêtée à CHF 220.- correspondant à une heure au tarif de cheffe d'étude (CHF 200.-/heure), plus la majoration forfaitaire de 10%, l'état de frais taxé en première instance ayant porté sur plus de 30 heures, étant précisé qu'à teneur de l'état de frais, la TVA ne doit pas être prise en considération. * * * * *</w:t>
      </w:r>
    </w:p>
    <w:p>
      <w:r>
        <w:t>- 5/6 - P/14938/21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