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AARP/161/2015 vom 16. März 2015</w:t>
      </w:r>
    </w:p>
    <w:p>
      <w:r>
        <w:t>GE Cour de justice, 2015-03-16, FR</w:t>
      </w:r>
    </w:p>
    <w:p>
      <w:r>
        <w:rPr>
          <w:b/>
        </w:rPr>
        <w:t xml:space="preserve">Quelle: </w:t>
      </w:r>
      <w:r>
        <w:t>https://mcp.opencaselaw.ch/entscheid/ge_gerichte_AARP_161_2015</w:t>
      </w:r>
    </w:p>
    <w:p>
      <w:r>
        <w:t>FR: GE_GERICHTE AARP/161/2015 du 16 mars 2015</w:t>
      </w:r>
    </w:p>
    <w:p>
      <w:r>
        <w:t>IT: GE_GERICHTE AARP/161/2015 del 16 marzo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Conformément aux art. 403 al. 4 et 331 al. 1 CPP applicables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t>- 8/21 - P/3200/2014 2.1.2. La juridiction d'appel administre, d'office ou à la demande d'une partie, les preuves complémentaires nécessaires au traitement du recours (art. 389 al. 3 CPP ; arrêt du Tribunal fédéral 6B_78/2012 du 27 août 2012 consid. 3.1). 2.1.3. L'administration des preuves du tribunal de première instance n'est répétée que si les dispositions en matière de preuves ont été enfreintes (art. 389 al. 2 let. a CPP), l'administration des preuves était incomplète (al. 2 let. b) ou si les pièces relatives à l'administration des preuves ne semblent pas fiables (al. 2 let. c). Afin de déterminer quel moyen de preuve doit être administré, le juge dispose d'un pouvoir d'appréciation (arrêt du Tribunal fédéral 6B_484/2012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En l'espèce, ainsi qu'il a été retenu lors de l'ouverture des débats d'appel, il est établi par appréciation anticipée de preuves que la partie plaignante avait subi des griffures, l'audition de la doctoresse G______ n'était donc pas nécessaire. Seule demeure litigieuse la question de la qualification juridique, qui sera examinée avec le fond. Cette réquisition de preuve doit donc être rejetée.</w:t>
      </w:r>
    </w:p>
    <w:p>
      <w:r>
        <w:rPr>
          <w:b/>
        </w:rPr>
        <w:t>E. 3</w:t>
      </w:r>
    </w:p>
    <w:p>
      <w:r>
        <w:t>3.1.1.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w:t>
      </w:r>
    </w:p>
    <w:p>
      <w:r>
        <w:t>- 9/21 - P/3200/2014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3.1.2. 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ces derniers. L'auteur encourt une peine privative de liberté de trois ans au plus ou une peine pécuniaire.</w:t>
      </w:r>
    </w:p>
    <w:p>
      <w:r>
        <w:t>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(S. HEIMGARTNER, Strafrecht II, Basler Kommentar, 2e éd., 2007, n. 5 ad art. 285 CP ; B. CORBOZ, Les infractions en droit suisse, vol. II, 2002, n. 9 ad art. 285 CP).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op. cit., vol I, n. 4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Pour certains auteurs, la création d'un obstacle matériel comme fermer la porte à clé ou ériger des barricades tombent sous le coup de l'art. 285 CP (B. CORBOZ, op. cit., vol II, n. 4 ad art. 285 CP ; G. STRATENWERTH / F. BOMMER, Schweizerisches Strafrecht, Besonderer Teil II : Straftaten gegen Gemeininteressen, 6e éd., 2008, § 50 n. 20), alors que, d'après d'autres auteurs, de tels actes ne sauraient être qualifiés d'actes de violence au sens de l'art. 285 CP, mais constituent des actes d'opposition selon l'art. 286 CP (S. TRECHSEL, Schweizerisches Strafgesetzbuch : Praxiskommentar, Zurich/Saint-Gall 2008, n. 3 ad art. 285 CP ; S. HEIMGARTNER, op. cit., n. 7 ad art. 285 CP). Enfin, la violence doit atteindre le fonctionnaire, mais non un tiers (S. HEIMGARTNER, op. cit., n. 9 ad art. 285 CP). La menace correspond à celle de l'art. 181 CP, même s'il n'est pas précisé qu'elle doit porter sur un dommage sérieux (arrêt du Tribunal fédéral 6B_257/2010 du 5 octobre</w:t>
      </w:r>
    </w:p>
    <w:p>
      <w:r>
        <w:t>- 10/21 - P/3200/2014 2010 consid. 5.1 ; B. CORBOZ, op. cit., vol. II, n. 5 ad art. 285 CP ; S. HEIMGARTNER, op. cit., n. 10 ad art. 285 CP). Elle peut être expresse ou non et communiquée par n'importe quel moyen. Elle peut être exprimée oralement, par écrit ou par un comportement concluant ; elle peut être transmise par un intermédiaire ; il faut analyser le comportement de l'auteur dans son ensemble pour dire s'il en résulte une menace, celle-ci pouvant être sous-entendue (B. CORBOZ, op. cit., vol. I, n. 9 ad art. 181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vol. II, n. 11 ad art. 285 CP). Selon la seconde variante, l'auteur se livre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en cette qualité dans le cadre de sa mission officielle et que c'est en raison de cette activité que l'auteur se livre à des voies de fait sur lui (B. CORBOZ, op. cit, vol. II, n. 17 ad art. 285 CP ; S. TRECHSEL, op. cit., n. 8 ad art. 285 CP). En revanche, l'art. 285 CP n'est pas applicable si l'auteur règle un compte privé avec le fonctionnaire, mais à un moment où celui-ci est en fonction (ATF 110 IV 91 consid. 2 p. 92, arrêt du Tribunal fédéral 6B_834/2008 du 20 janvier 2009 consid. 3.1). L'infraction est intentionnelle, le dol éventuel suffit (M. DUPUIS / B. GELLER / G. MONNIER / L. MOREILLON / C. PIGUET / C. BETTEX / D. STOLL (éds), Code pénal - Petit commentaire, Bâle 2012, n. 22 ad art. 285 CP). L'art. 285 ch. 1 CP entre en concours parfait avec les lésions corporelles simples et prime les voies de fait (M. DUPUIS / B. GELLER / G. MONNIER / L. MOREILLON / C. PIGUET / C. BETTEX / D. STOLL (éds), op. cit, nos 23-24 ad art. 285 CP). 3.1.3.1. Aux termes de l'art. 123 ch.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CP). 3.1.3.2. A teneur de l'art. 126 al. 1 CP, celui qui se sera livré sur une personne à des voies de fait qui n'auront causé ni lésion corporelle ni atteinte à la santé sera, sur plainte, puni d'une amende.</w:t>
      </w:r>
    </w:p>
    <w:p>
      <w:r>
        <w:t>- 11/21 - P/3200/2014 3.1.3.3. 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(ATF 119 IV 25 consid. 2a p. 26-27). La question peut parfois être résolue de manière satisfaisante par l'application de l'art. 123 ch. 1 in fine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ATF 107 IV 40 consid. 5c p. 42 ; ATF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3.2.1. L'appelant ne saurait être suivi lorsqu'il soutient, encore en appel, n'avoir fait preuve d'aucune violence envers l'agent de police lors de son arrestation. Plusieurs éléments au dossier contredisent ses dénégations, lesquelles ne sont en tout état pas crédibles en raison de leur contradiction. Il est établi que l'appelant était dans un état d'énervement certain le jour des faits, qu'il a manifesté également contre les forces de l'ordre et non pas uniquement contre son amie. A teneur des rapport de police et procès-verbal d'audition, respectivement établis par des agents tiers, l'appelant a été agressif avant, pendant et après son arrestation. En témoignent les griffures au poignet et à la main gauche de la partie plaignante causées par l'appelant qui ont nécessité un déplacement à l’hôpital pour</w:t>
      </w:r>
    </w:p>
    <w:p>
      <w:r>
        <w:t>- 12/21 - P/3200/2014 des soins (cf. infra), ainsi que sa mauvaise foi et sa grossièreté à l'égard du policier ayant effectué son audition, étant observé que l'allégation selon laquelle les propos protocolés auraient été inventés par la police n'est pas crédible. Par conséquent, les explications et dénégations de l'appelant n'emportent pas conviction. A teneur des déclarations constantes de la partie plaignante, un agent de police assermenté, on retiendra qu’au moment où le gendarme C______ a saisi le bras gauche de l'appelant en prise d’escorte dans le but de l’éloigner de la femme, ce dernier, qui était excité et agressif, s’y est opposé en se débattant et en faisant preuve de violence, ce qui a contraint le gendarme, aidé par son collègue, à user de la force pour maîtriser l'appelant et le menotter. Il est ainsi établi à teneur de la procédure que l'appelant récalcitrant a usé de violence contre un agent de police qui était en fonction et cherchait à procéder à son interpellation. C'est en raison de ce comportement que l'intimé a dû employer la force pour le maîtriser. En agissant de la sorte, l'appelant a rendu l'acte officiel de ce fonctionnaire de police plus difficile, faits constitutifs d'infraction à l'art. 285 ch. 1 CP. 3.2.2. L'existence des griffures causées par l'appelant à la partie plaignante a été démontrée lors de la procédure. Quand bien même aucun certificat médical n’a été produit, il n'y a aucune raison de remettre en question les déclarations constantes de la partie plaignante. La réalité des blessures étant, en outre, confirmée par le rapport de police établi par un agent extérieur au contentieux. Seule la qualification juridique reste litigieuse. La partie plaignante n'a pas soutenu que ces blessures superficielles lui aient causé un trouble important et aucun élément au dossier ne plaide dans ce sens. Au regard de la jurisprudence, les actes ayant causé des griffures qui ne portent qu'une atteinte inoffensive et passagère au bien-être du lésé, ne constituent que des voies de fait. Par conséquent, les actes à l'origine desdites griffures doivent être qualifiés de la sorte et non pas de lésions corporelles simples. Ces voies de fait ont eu lieu contre un agent de police pendant qu'il procédait à un acte entrant dans ses fonctions (cf. mutatis mutandis supra) de sorte que l'art. 285 ch. 1 CP s'applique et absorbe les voies de fait (art. 126 CP). Les différents actes de l'appelant à l'égard de l'agent de police lors de son interpellation doivent être considérés comme un tout sanctionné exclusivement par l'art. 285 ch. 1 CP. 3.2.3. L'appelant se contente de nier avoir eu l'intention de s'en prendre aux forces de l'ordre, sans de plus amples justifications. Aucun élément au dossier ne saurait</w:t>
      </w:r>
    </w:p>
    <w:p>
      <w:r>
        <w:t>- 13/21 - P/3200/2014 exclure son intention, pas même son état d'énervement. Il a donc agi avec conscience et volonté. Le jugement entrepris sera donc confirmé en ce qu'il reconnait l'appelant coupable d'infraction à l'art. 285 ch. 1 CP, mais réformé sur le point de sa culpabilité pour lésions corporelles simples où son acquittement devra être prononcé.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- 14/21 - P/3200/2014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4.2.2. Pour l'octroi du sursis, le juge doit poser un pronostic quant au comportement futur de l'auteur. La question de savoir si le sursis serait de nature à détourner l'accusé de commettre de nouvelle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t>- 15/21 - P/3200/2014 4.2.3.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 arrêt du Tribunal fédéral 6B_541/2007 du 13 mai 2008 consid. 5.1). 4.2.4. 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Tribunal fédéral 6B_787/2014 du 27 novembre 2014 consid. 1.3.2 et 6B_262/2012 du 4 octobre 2012 consid. 1.3.2).</w:t>
      </w:r>
    </w:p>
    <w:p>
      <w:r>
        <w:rPr>
          <w:b/>
        </w:rPr>
        <w:t>E. 4.3</w:t>
      </w:r>
    </w:p>
    <w:p>
      <w:r>
        <w:t>En l’espèce, la faute de l’appelant n'est pas négligeable. Il a fait preuve de violence et de mépris à l'égard d'un représentant des forces de l'ordre. Il a également persisté à séjourner en Suisse malgré la décision l'interdiction d'entrée prononcée à son encontre et les condamnations pour séjour illégal dont il a fait l'objet. La période pénale est longue, allant du 1er mars 2013 au 23 février 2014. La situation personnelle précaire de l'appelant n'est pas un facteur à décharge, dans la mesure où elle est la conséquence de son refus de quitter un pays où il séjourne illégalement. Ses antécédents judiciaires sont mauvais. Il a été condamné à neuf reprises entre 2004 et 2013 principalement pour des infractions contre le patrimoine, à la législation en matière de séjour des étrangers et pour consommation de stupéfiants. Aucune de ces décisions ne l’a dissuadé de récidiver. Sa collaboration à la procédure a été médiocre. Il n'a cessé de nier les faits qui lui étaient reprochés à l'égard du policier, proposant des versions contradictoires, et a adopté, lors de sa première audition, un comportement empreint d'irrespect et de mauvaise foi. Quant aux infractions aux lois sur les étrangers et sur les stupéfiants, il a immédiatement reconnu les faits qui lui étaient reprochés. Toutefois, interpellé sur le territoire suisse sur lequel il séjournait sans droit, il pouvait difficilement contester les charges. Il en va de même de la drogue retrouvée sur lui lors de la fouille de sécurité.</w:t>
      </w:r>
    </w:p>
    <w:p>
      <w:r>
        <w:t>- 16/21 - P/3200/2014 La prise de conscience de l'appelant n'est que partielle, puisqu'elle concerne essentiellement le volet du droit des étrangers, et doit être relativisée dans la mesure où il a manifesté, encore en appel, sa volonté de rester en Suisse. Les regrets exprimés par-devant la CPAR paraissent de pure circonstance. Aucune des circonstances atténuantes prévues par l'art. 48 CP n'est réalisée, ni d’ailleurs plaidée. Il y a concours d'infractions. Vu la répétition d'infractions de mêmes genres et le refus explicite de l'appelant de retourner dans son pays, sans pour autant que des démarches visant à régulariser sa situation n'aient été entreprises, le pronostic ne peut qu'être défavorable, l'absence d'attaches documentées de l'appelant en Suisse ne permettant au surplus pas d'infirmer ce point de vue. A cela s’ajoute une situation précaire qui augmente encore le risque de commission de nouvelles infractions. Par conséquent, seule une peine ferme pouvait être prononcée. Au vu de sa situation administrative en Suisse, de l'absence de toute possibilité de gain licite, et du nombre de peines privatives de liberté fermes qu'il a purgées sans effet dissuasif, tant le travail d'intérêt général que la peine pécuniaire sont exclus, de sorte que l'appelant doit être condamné à une peine privative de liberté. C’est donc à bon droit que le premier juge l'a condamné à une courte peine privative de liberté ferme. La sanction ayant été prononcée en raison d'un concours d'infractions entre le séjour irrégulier et un autre délit, aucune question spécifique ne se pose au regard de la directive sur le retour 2008/115/CE et de la jurisprudence y relative. Vu l'acquittement partiel prononcé, la peine privative de liberté de quatre mois, sous déduction de deux jours de détention avant jugement, doit être réduite à trois mois. L'amende de CHF 100.-, ainsi que la peine privative de liberté de substitution de un jour, pour l'infraction à l'art. 19a LStup seront maintenues, n'ayant été contestées ni dans leur principe ni dans leur quotité.</w:t>
      </w:r>
    </w:p>
    <w:p>
      <w:r>
        <w:rPr>
          <w:b/>
        </w:rPr>
        <w:t>E. 5.1</w:t>
      </w:r>
    </w:p>
    <w:p>
      <w:r>
        <w:t>L'appelant, qui succombe partiellement, supportera la moitié des frais de la procédure d'appel (art. 428 CPP), lesquels comprendront un émolument de CHF 1'500.- (art. 14 al. 1 let. e du Règlement fixant le tarif des frais en matière pénale, du 22 décembre 2010 [RTFMP; E 4 10.03]). Le solde des frais sera laissé à la charge de l'Etat.</w:t>
      </w:r>
    </w:p>
    <w:p>
      <w:r>
        <w:t>- 17/21 - P/3200/2014</w:t>
      </w:r>
    </w:p>
    <w:p>
      <w:r>
        <w:rPr>
          <w:b/>
        </w:rPr>
        <w:t>E. 5.2</w:t>
      </w:r>
    </w:p>
    <w:p>
      <w:r>
        <w:t>Dans la mesure où l'appelant a été partiellement acquitté pour une infraction et que la peine a sensiblement été réduite, le jugement entrepris sera également modifié en ce sens que l'émolument complémentaire de jugement de CHF 600.- doit être laissé pour moitié à la charge de l'Etat, l'appelant ne devant donc s'acquitter que de CHF 716.-, au total, s'agissant des frais de première instance.</w:t>
      </w:r>
    </w:p>
    <w:p>
      <w:r>
        <w:rPr>
          <w:b/>
        </w:rPr>
        <w:t>E. 6</w:t>
      </w:r>
    </w:p>
    <w:p>
      <w:r>
        <w:t>6.1.1.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w:t>
      </w:r>
    </w:p>
    <w:p>
      <w:r>
        <w:t>- 18/21 - P/3200/2014 6.1.2.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rPr>
          <w:b/>
        </w:rPr>
        <w:t>E. 6.2</w:t>
      </w:r>
    </w:p>
    <w:p>
      <w:r>
        <w:t>En l'espèce, l'activité suivante ne sera pas considérée comme nécessaire : - une heure effectuée par la cheffe d'étude et affectée à un entretien avec son assisté, lequel a eu lieu à une date antérieure à la nomination d'office ; - 30 minutes effectuées par son associée et affectées à l'assistance à la seconde audience d'appel qui n'a duré qu'une demi-heure. L'activité exercée par le défenseur d’office de l'appelant dans le cadre de la présente procédure est au surplus en adéquation avec la nature, l'importance et la difficulté de la cause. Par conséquent, l'état de frais, après les réductions qui précèdent, sera admis à concurrence de 7 heures et 45 minutes d'activité effectuées par la cheffe d'étude ou son associée, ce qui correspond à une indemnité de base de CHF 1'550.-. Il convient d'ajouter à ce montant l'indemnisation forfaitaire de 20%, soit CHF 310.-, ainsi que la TVA à hauteur de CHF 148.80. * * * * *</w:t>
      </w:r>
    </w:p>
    <w:p>
      <w:r>
        <w:t>- 19/21 - P/3200/2014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