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AARP/15/2013 vom 22. Januar 2013</w:t>
      </w:r>
    </w:p>
    <w:p>
      <w:r>
        <w:t>GE Cour de justice, 2013-01-22, FR</w:t>
      </w:r>
    </w:p>
    <w:p>
      <w:r>
        <w:rPr>
          <w:b/>
        </w:rPr>
        <w:t xml:space="preserve">Quelle: </w:t>
      </w:r>
      <w:r>
        <w:t>https://mcp.opencaselaw.ch/entscheid/ge_gerichte_AARP_15_2013</w:t>
      </w:r>
    </w:p>
    <w:p>
      <w:r>
        <w:t>FR: GE_GERICHTE AARP/15/2013 du 22 janvier 2013</w:t>
      </w:r>
    </w:p>
    <w:p>
      <w:r>
        <w:t>IT: GE_GERICHTE AARP/15/2013 del 22 gennaio 2013</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w:t>
      </w:r>
    </w:p>
    <w:p>
      <w:r>
        <w:t>- 6/13 - P/6883/2012 application de cette ancienne disposition. Cette jurisprudence conserve toute sa valeur, de sorte que l'on peut continuer à s'y référer (arrêt du Tribunal fédéral 6B_992/2008 du 5 mars 2009 consid. 5.1).</w:t>
      </w:r>
    </w:p>
    <w:p>
      <w:r>
        <w:rPr>
          <w:b/>
        </w:rPr>
        <w:t>E. 2.2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ATF 118 IV 342 consid. 2d p. 349).</w:t>
      </w:r>
    </w:p>
    <w:p>
      <w:r>
        <w:t>- 7/13 - P/6883/2012</w:t>
      </w:r>
    </w:p>
    <w:p>
      <w:r>
        <w:rPr>
          <w:b/>
        </w:rPr>
        <w:t>E. 2.3</w:t>
      </w:r>
    </w:p>
    <w:p>
      <w:r>
        <w:t>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w:t>
      </w:r>
    </w:p>
    <w:p>
      <w:r>
        <w:rPr>
          <w:b/>
        </w:rPr>
        <w:t>E. 2.4</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consid. 5.5.1 p. 14). Un pronostic défavorable exclut également le sursis partiel (cf. ATF 134 IV 1 consid. 5.3.1). Pour l'octroi du sursis, le juge doit poser un pronostic quant au comportement futur de l'auteur. La question de savoir si le sursis serait de nature à détourner l'accusé de commettre de nouvelle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Le rapport entre la partie ferme et avec sursis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Le juge dispose à ce propos d'un large pouvoir d'appréciation (cf. ATF 134 IV 1, consid. 5.6).</w:t>
      </w:r>
    </w:p>
    <w:p>
      <w:r>
        <w:t>- 8/13 - P/6883/2012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2e éd., 2007, n. 4 ad art. 44 et les références citées).</w:t>
      </w:r>
    </w:p>
    <w:p>
      <w:r>
        <w:rPr>
          <w:b/>
        </w:rPr>
        <w:t>E. 2.5</w:t>
      </w:r>
    </w:p>
    <w:p>
      <w:r>
        <w:t>A titre liminaire, il y a lieu d'observer que seul le condamné a fait appel du jugement rendu par le Tribunal correctionnel au sujet de la peine qui lui a été infligée. Les appréciations du Ministère public relatives à la culpabilité de l'appelant peuvent être reçues pour autant qu'elles n'impliquent pas une aggravation du rôle décrit dans l'acte d'accusation, tel qu'il a été consacré par les premiers juges. Ainsi en est-il de la constatation d'un haut degré de pureté de la drogue, dont il est notoire qu'elle aurait dû subir plusieurs coupages avant d'être proposée aux toxicomanes de la rue. La confiance dont avait bénéficié l'appelant au vu de la seule valeur marchande de la quantité de drogue ne saurait pas davantage être contestée, ne serait-ce qu'en raison de l'aggravante retenue par le Ministère public. En revanche, l'appelant est en droit de contester les observations de l'accusation relatives au peu de respect allégué pour l'ordre juridique lié à la violation de la loi sur la circulation routière, laquelle n'était a priori pas connue des premiers juges et ne figure pas dans les considérants du jugement. Cela exposé, la faute de l'appelant est indubitablement lourde, quelles que soient les circonstances de la réalisation de l'infraction. Le fait que la détention de l'héroïne ait été, selon les éléments du dossier, de courte durée, est sans incidence sur la gravité de l'infraction qui résulte de la seule quantité nette de près de deux kilos d'héroïne, au- delà de toute considération liée à l'écoulement de la marchandise ou à des contacts préexistants en ce sens. L'appelant ne peut pas se retrancher derrière sa méconnaissance de la quantité, puisqu'il a manipulé les pucks d'héroïne et qu'il a pu à tout le moins observer qu'il y en avait quatre d'un poids non négligeable. Le rôle exact de l'appelant reste largement méconnu. Pour des raisons a priori stratégiques, il a pris sur lui de porter une responsabilité exclusive dans le trafic de stupéfiants, sans que cela ne soit très convaincant, notamment au regard du rôle trouble joué par le détenteur de la voiture qui semblait aussi connaître le fournisseur de l'héroïne auquel il a donné libre accès à son véhicule. Aucune analyse des téléphones portables des condamnés n'a été ordonnée, ce qui aurait permis une meilleure définition de leurs rôles respectifs et de savoir si des contacts avaient été pris en vue de l'écoulement de la drogue. La recherche de profils ADN sur les</w:t>
      </w:r>
    </w:p>
    <w:p>
      <w:r>
        <w:t>- 9/13 - P/6883/2012 stupéfiants ne permet de tirer aucune conclusion quant à une implication de l'appelant qui soit supérieure à celle de ses comparses. Les saisies opérées sur les trois condamnés étaient sensiblement de même nature. Dans ces conditions, une peine ferme de 3 ans et demi ne s'impose pas comme une évidence. Elle ne tient pas compte de la disparité des peines avec celles infligées aux deux autres prévenus, qui n'ont pu être supérieures à 6 mois de privation de liberté (art. 352 al. 1 let. d CPP). Certes, l'aggravante de la quantité n'a pas pu être retenue dans leurs cas, ce qui aurait fermé la voie d'une ordonnance pénale au regard du minimum de peine requis par l'art. 19 al. 2 LStup. La culpabilité exclusive découlant des aveux de l'appelant est assez artificielle et elle ne suffit pas à comprendre la disparité du traitement pénal des trois condamnés. Enfin, aucun motif ne ressort des considérants du jugement entrepris pour justifier une peine supérieure aux réquisitions du Ministère public, qui ne s'était pas opposé à l'octroi d'un sursis partiel, reconnaissant par là l'existence d'un pronostic non défavorable. Le principe d'une peine compatible avec le sursis partiel est ainsi posé. L'appelant est sans passé judiciaire connu, en tout cas de manière officielle. Le Ministère public n'est pas légitimé à se fonder sur une condamnation qu'aurait subie l'appelant en Grèce alors que nulle trace de la recherche d'un casier judiciaire grec ne figure au dossier. Au demeurant, l'infraction réalisée ne semble avoir aucun lien avec les stupéfiants et elle est peu significative. L'appelant témoigne d'une stabilité familiale documentée. La détention subie et le fait qu'il ait été séparé de son jeune fils est de nature à le dissuader de chercher à améliorer son statut économique par des actes délictueux, ce qui pourrait résulter de ses déclarations tant écrites qu'orales. Il n'y a par conséquent pas d'indications dans le sens d'un pronostic défavorable, ce d'autant que sa collaboration, si elle n'a pas été excellente, a permis de conclure plus facilement à sa culpabilité pour les actes reprochés, épargnant ainsi au Ministère public une enquête fastidieuse. L'appelant a dit vouloir quitter la Suisse et retourner en Grèce, pays dans lequel il est habilité à séjourner, pour y travailler. Il n'y a dès lors aucun motif sérieux de ne pas lui faire confiance, ce d'autant que sa volonté de retourner en Grèce est documentée. Une peine de 36 mois de privation de liberté correspond à la gravité objective de sa faute et des circonstances entourant son infraction, qui est constituée d'un acte unique à teneur du dossier. Le sursis partiel est acquis à l'appelant, au regard du pronostic posé quant à son avenir. La faute commise étant lourde, la partie ferme de la peine ne saurait être réduite à une portion congrue. L'absence de pronostic défavorable est en revanche établie, tant l'appelant réunit sur son nom les éléments propres à fonder des espoirs raisonnables d'une réinsertion réussie. C'est ainsi une peine ferme de 15 mois qui viendra sanctionner son comportement illicite. Même si le risque de récidive n'est pas patent au vu du passé judiciaire de l'appelant et de sa stabilité familiale, il importe de garantir l'aspect dissuasif du sursis accordé.</w:t>
      </w:r>
    </w:p>
    <w:p>
      <w:r>
        <w:t>- 10/13 - P/6883/2012 La durée du délai d'épreuve ne saurait dans ces conditions être réduite au minimum, de sorte qu'elle sera fixée à 4 ans.</w:t>
      </w:r>
    </w:p>
    <w:p>
      <w:r>
        <w:rPr>
          <w:b/>
        </w:rPr>
        <w:t>E. 3</w:t>
      </w:r>
    </w:p>
    <w:p>
      <w:r>
        <w:t>L'appelant, qui succombe partiellement, supportera le tiers des frais de la procédure envers l'État (art. 428 CPP), lesquels comprennent un émolument de CHF 2'000.– (art. 14 al. 1 let. e du règlement fixant le tarif des frais en matière pénale [RTFMP ; E</w:t>
      </w:r>
    </w:p>
    <w:p>
      <w:r>
        <w:rPr>
          <w:b/>
        </w:rPr>
        <w:t>E. 4</w:t>
      </w:r>
    </w:p>
    <w:p>
      <w:r>
        <w:t>10.03]), le solde étant laissé à la charge de l'Etat. * * * * *</w:t>
      </w:r>
    </w:p>
    <w:p>
      <w:r>
        <w:t>- 11/13 - P/6883/2012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