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AARP/159/2020 vom 4. Mai 2020</w:t>
      </w:r>
    </w:p>
    <w:p>
      <w:r>
        <w:t>GE Cour de justice, 2020-05-04, FR</w:t>
      </w:r>
    </w:p>
    <w:p>
      <w:r>
        <w:rPr>
          <w:b/>
        </w:rPr>
        <w:t xml:space="preserve">Quelle: </w:t>
      </w:r>
      <w:r>
        <w:t>https://mcp.opencaselaw.ch/entscheid/ge_gerichte_AARP_159_2020</w:t>
      </w:r>
    </w:p>
    <w:p>
      <w:r>
        <w:t>FR: GE_GERICHTE AARP/159/2020 du 4 mai 2020</w:t>
      </w:r>
    </w:p>
    <w:p>
      <w:r>
        <w:t>IT: GE_GERICHTE AARP/159/2020 del 4 maggio 2020</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(ATF 137 IV 122 consid. 3.3 p. 127 = JdT 2012 IV p. 79). Confronté à des versions contradictoires, le tribunal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w:t>
      </w:r>
    </w:p>
    <w:p>
      <w:r>
        <w:rPr>
          <w:b/>
        </w:rPr>
        <w:t>E. 5</w:t>
      </w:r>
    </w:p>
    <w:p>
      <w:r>
        <w:t>mois (7 mois de peine hypothétique) pour la contrainte et de 4 mois pour les</w:t>
      </w:r>
    </w:p>
    <w:p>
      <w:r>
        <w:t>- 22/33 - P/1775/2019 infractions à la LEI (3 mois pour le séjour illégal et 3 mois pour le travail sans autorisation de peines hypothétiques). Compte tenu de la responsabilité faiblement restreinte retenue pour les actes en lien avec la jeune victime, D______ sera au final condamné à une peine privative de liberté de 42 mois, soit 3 ans et demi. Vu la peine prononcée, le sursis est exclu. Le jugement entrepris sera réformé. 4. 4.1.1. L'appelant ne conteste pas le jugement en tant qu'il a ordonné un traitement ambulatoire au sens de l'art. 63 CP, soutenant cependant que la peine privative de liberté doit être suspendue en conséquence.</w:t>
      </w:r>
    </w:p>
    <w:p>
      <w:r>
        <w:t>4.1.2. En vertu de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w:t>
      </w:r>
    </w:p>
    <w:p>
      <w:r>
        <w:t>Le principe est que la peine est exécutée et que le traitement ambulatoire est suivi en même temps (ATF 129 IV 161 consid. 4.1 et 4.3 p. 162 ss ; en application du nouveau droit : voir arrêts du Tribunal fédéral 6B_1150/2014 du 19 novembre 2015 consid. 3.2.2 et 6B_335/2012 du 13 août 2012 consid. 2.1).</w:t>
      </w:r>
    </w:p>
    <w:p>
      <w:r>
        <w:t>4.2. En l'espèce, les experts mandatés par le MP ont indiqué sans équivoque que le traitement préconisé, soit un suivi psychothérapeutique sexologique, doublé cas échéant d'un traitement anti-impulsif, était compatible avec l'exécution d'une peine privative de liberté. La suspension de la peine, revêtant un caractère exceptionnel, ne se justifie pas pour des motifs thérapeutiques. La perspective du succès du traitement ne paraît en outre pas être considérablement compromise par l'exécution de la peine privative de liberté prononcée (cf. ATF 129 IV 161 consid. 4.1 p. 163 ; arrêt du Tribunal fédéral 6B_1150/2014 du 19 novembre 2015 consid. 3.2.2). La peine ne sera dès lors pas suspendue au profit de la mesure prononcée.</w:t>
      </w:r>
    </w:p>
    <w:p>
      <w:r>
        <w:rPr>
          <w:b/>
        </w:rPr>
        <w:t>E. 5.1</w:t>
      </w:r>
    </w:p>
    <w:p>
      <w:r>
        <w:t>Aux termes de l'art. 66abis CP, le juge peut expulser un étranger du territoire suisse pour une durée de trois à quinze ans si, pour un crime ou un délit non visé à l'art. 66a CP, celui-ci a été condamné à une peine ou a fait l'objet d'une mesure au sens des art. 59 à 61 ou 64 CP.</w:t>
      </w:r>
    </w:p>
    <w:p>
      <w:r>
        <w:t>- 23/33 - P/1775/2019</w:t>
      </w:r>
    </w:p>
    <w:p>
      <w:r>
        <w:rPr>
          <w:b/>
        </w:rPr>
        <w:t>E. 5.1.1</w:t>
      </w:r>
    </w:p>
    <w:p>
      <w:r>
        <w:t>Les dispositions sur l'expulsion ne s'appliquent qu'aux infractions commises à partir du 1er octobre 2016. Les antécédents judiciaires antérieurs au 1er octobre 2016 sont pris en considération (AARP/185/2017 du 2 juin 2017 consid. 2.1 ; AARP/119/2017 du 20 mars 2017 consid. 4.1 ; AARP/179/2017 du 30 mai 2017 consid. 3.1.2).</w:t>
      </w:r>
    </w:p>
    <w:p>
      <w:r>
        <w:rPr>
          <w:b/>
        </w:rPr>
        <w:t>E. 5.1.2</w:t>
      </w:r>
    </w:p>
    <w:p>
      <w:r>
        <w:t>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p. 149; 139 I 31 consid. 2.3.3 p. 34 ss ; 135 II 377 consid. 4.3 p. 381 ; arrêts du Tribunal fédéral 6B_594/2019 du 4 juillet 2019 consid. 2.1 ; 6B_242/2019 du 18 mars 2019 consid. 1.1 ; 6B_1314/2018 du 29 janvier 2019 consid. 5.1).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p. 12; 139 I 330 consid. 2.1 p. 336 ; arrêt du Tribunal fédéral 6B_1431/2019 du 12 février 202). La durée du séjour en Suisse est un élément parmi d'autres, le Tribunal fédéral n'accordant qu'un faible poids aux années y ayant été passées dans l'illégalité, en prison ou au bénéfice d'une simple tolérance (cf. ATF 134 II 10 consid. 4.3 p. 24 ; plus récemment arrêt du Tribunal fédéral 6B_50/2020 du 3 mars 2020 consid. 1.3.1). 5.2.1. En l'espèce, il existe un intérêt public important à l'expulsion de l'appelant. Certes, les infractions commises par l'appelant postérieurement à l'entrée en vigueur des règles sur l'expulsion, à savoir le séjour illégal et le travail sans autorisation, ne justifient pas à elles seules une telle mesure. Sa condamnation en 2009, pour actes d'ordre sexuel avec un enfant, et sa récidive jugée dans la présente affaire sont cependant des infractions graves. Le prononcé d'une expulsion serait dès lors, par sa nature, vraisemblablement propre à l'empêcher de commettre de nouvelles infractions en Suisse.</w:t>
      </w:r>
    </w:p>
    <w:p>
      <w:r>
        <w:t>- 24/33 - P/1775/2019 5.2.2. L'intérêt de l'appelant à rester en Suisse paraît faible. Il vit sur le territoire helvétique depuis certes de longues années, mais en situation irrégulière, la durée de son séjour pesant dans ces circonstances, conformément à la jurisprudence, faiblement dans la balance. Il n'a pratiquement aucune chance d'obtenir à court ou moyen terme ne serait-ce que le droit de séjourner en Suisse vu ses condamnations pour des actes très graves. Il ne peut exercer une activité lucrative autorisée et ne compte pas reprendre, à raison, immédiatement sa fonction de prédicateur. Son épouse et ses deux enfants vivent en Suisse mais sans droit d'y résider durablement, de sorte qu'il ne peut se prévaloir de la garantie du droit au respect de la vie privée et familiale. Ses chances de réinsertion au Brésil, qu'il a quitté comme jeune adulte, paraissent bonnes. Il maîtrise mieux le portugais, sa langue maternelle, que le français, et peut y amener l'expérience professionnelle acquise, au noir, en Suisse. Il y a encore de la famille et des connaissances, ce dont il faut tenir compte même si elles ont eu vent des articles de presse sur la présente affaire. L'espoir allégué que son traitement aboutisse ne change pas le résultat de la pesée des intérêts. L'expulsion de l'appelant pour une durée de cinq ans du territoire suisse sera ordonnée et le jugement entrepris réformé sur ce point.</w:t>
      </w:r>
    </w:p>
    <w:p>
      <w:r>
        <w:rPr>
          <w:b/>
        </w:rPr>
        <w:t>E. 6.1</w:t>
      </w:r>
    </w:p>
    <w:p>
      <w:r>
        <w:t>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Conformément à l'art. 126 al. 1 let. a CPP, le Tribunal statue sur les conclusions civiles présentées lorsqu'il rend un verdict de culpabilité à l'encontre du prévenu.</w:t>
      </w:r>
    </w:p>
    <w:p>
      <w:r>
        <w:rPr>
          <w:b/>
        </w:rPr>
        <w:t>E. 6.2</w:t>
      </w:r>
    </w:p>
    <w:p>
      <w:r>
        <w:t>En l'espèce, la somme de l’indemnité pour tort moral fixée à CHF 4'000.- par les premiers juges est trop faible au vu des circonstances. Comme établi supra, la faute de l'auteur est très lourde. L'enfant a subi de graves atteintes à son intégrité sexuelle lorsqu'elle avait 8 ou 9 ans, alors qu'elle était très vulnérable. Au lieu de passer un moment avec une nouvelle amie, alors qu'elle en manquait à l'époque, elle a été contrainte d'endurer deux cunnilingus et de prodiguer une fellation. Il s'agit certes d'un épisode unique, mais lors duquel elle s'est retrouvée seule dans une chambre avec un homme adulte censé la protéger, qui a abusé d'elle et profité de la confiance de sa mère. Elle a été confrontée au fait que personne n'allait la secourir, la seule autre adulte présente étant l'épouse de l'auteur, intervenue pour finalement ne rien faire. Elle a eu peur et a été dégoûtée. Sa mère a rapporté qu'elle était en colère pendant cette période. Menacée par son agresseur et forcée au silence, elle a dû porter seule pendant des années le poids de ce qu'elle a vécu, se sentant en plus coupable de n'avoir rien dit et d'avoir agi comme elle l'a fait. Le fait qu'elle ait commencé à mettre en permanence une serviette dans sa culotte pour éviter une sensation mouillée paraît véritablement pénible. Elle supportera probablement les effets des agissements de l'appelant toute sa vie, même si on ignore en effet encore dans quelle mesure. Elle ne veut actuellement ni en parler ni suivre une thérapie mais cela sera mis sur le compte de son jeune âge, et de la difficulté généralement reconnue de parler de ce genre de faits, jusqu'à ce que la réalité la rattrape et qu'elle doive y faire face. Au vu de ce qui précède, il paraît équitable de condamner l'appelant à verser à A______ une indemnité de CHF 10'000.-, avec intérêts à 5% l'an dès le 31 décembre 2015, en vue de réparer le tort moral subi. Conformément à sa requête, le dommage matériel est réservé tant qu'il perdure. Le jugement entrepris sera réformé sur ce point.</w:t>
      </w:r>
    </w:p>
    <w:p>
      <w:r>
        <w:rPr>
          <w:b/>
        </w:rPr>
        <w:t>E. 7</w:t>
      </w:r>
    </w:p>
    <w:p>
      <w:r>
        <w:t>Les motifs ayant conduit les premiers juges à prononcer, par ordonnance séparée du 19 décembre 2019, le maintien de l'appelant, en détention pour des motifs de sûreté sont toujours d'actualité, ce que celui-ci ne conteste au demeurant pas, de sorte que la mesure sera reconduite mutatis mutandis (ATF 139 IV 277 consid. 2.2 à 2.3).</w:t>
      </w:r>
    </w:p>
    <w:p>
      <w:r>
        <w:rPr>
          <w:b/>
        </w:rPr>
        <w:t>E. 8</w:t>
      </w:r>
    </w:p>
    <w:p>
      <w:r>
        <w:t>L'appelant succombe dans l'intégralité de ses conclusions, tant celles portant sur son propre appel que celles sur les appels des autres parties.</w:t>
      </w:r>
    </w:p>
    <w:p>
      <w:r>
        <w:t>- 27/33 - P/1775/2019 La partie plaignante, également compte tenu du rejet de l'appel du prévenu et l'admission de l'appel du MP, ne succombe que très partiellement dans ses conclusions, le montant du tort moral n'atteignant pas ce qu'elle avait demandé. Le 1/6ème des frais de procédure d'appel qu'elle devrait supporter sera laissé à la charge de l'Etat (art. 30 de la loi fédérale sur l'aide aux victimes d'infractions [LAVI – RS 312.5]). En conséquence, l'appelant sera condamné, conformément aux art. 426 al. 1 et 428 al. 1 CPP, au paiement des 5/6ème des frais de la procédure d'appel, comprenant un émolument de CHF 3'000.- (art. 14 al. 1 let. e règlement fixant le tarif des frais en matière pénale du 22 décembre 2010 [RTFMP – E 4 10.03]).</w:t>
      </w:r>
    </w:p>
    <w:p>
      <w:r>
        <w:rPr>
          <w:b/>
        </w:rPr>
        <w:t>E. 9.1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La juste indemnité, notion qui laisse un large pouvoir d'appréciation au juge, couvre les dépenses et les frais nécessaires pour faire valoir le point de vue de la partie plaignante dans la procédure pénale (arrêts du Tribunal fédéral 6B_549/2015 du 16 mars 2016 consid. 2.3 = SJ 2017 I 37 ; 6B_495/2014 du 6 octobre 2014 consid. 2.1).</w:t>
      </w:r>
    </w:p>
    <w:p>
      <w:r>
        <w:rPr>
          <w:b/>
        </w:rPr>
        <w:t>E. 9.2</w:t>
      </w:r>
    </w:p>
    <w:p>
      <w:r>
        <w:t>En l'espèce, la partie plaignante n'a pas entièrement gain de cause, ce qui justifie une indemnisation partielle de ses frais de défense. En conséquence, l'appelant sera condamné à verser à la partie plaignante 5/6ème de la note d'honoraires rectifiée de leur conseil, à savoir CHF 7'591.35, correspondant au 5/6ème de 15h45 au tarif de 450.-/heure (CHF 7'087.50) et 3h35 au tarif de 350.- /heure (CHF 1'370.80), l'équivalent de la TVA à 7.7 % (CHF 651.30) versé en sus.</w:t>
      </w:r>
    </w:p>
    <w:p>
      <w:r>
        <w:rPr>
          <w:b/>
        </w:rPr>
        <w:t>E. 10.1</w:t>
      </w:r>
    </w:p>
    <w:p>
      <w:r>
        <w:t>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et chef d'étude CHF 200.- (let. c).</w:t>
      </w:r>
    </w:p>
    <w:p>
      <w:r>
        <w:t>En cas d'assujettissement, l'équivalent de la TVA est versé en sus.</w:t>
      </w:r>
    </w:p>
    <w:p>
      <w:r>
        <w:t>Seules les heures nécessaires à la défense devant les juridictions cantonales sont retenues et sont appréciées en fonction notamment de la nature, de l'importance et</w:t>
      </w:r>
    </w:p>
    <w:p>
      <w:r>
        <w:t>- 28/33 - P/1775/2019 des difficultés de la cause, de la valeur litigieuse, de la qualité du travail fourni et du résultat obtenu (art. 16 al. 2 RAJ).</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10.2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10.3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CHF 100.- pour les chefs d’étude, dite rémunération étant allouée d'office par la juridiction d'appel pour les débats devant elle.</w:t>
      </w:r>
    </w:p>
    <w:p>
      <w:r>
        <w:rPr>
          <w:b/>
        </w:rPr>
        <w:t>E. 10.4</w:t>
      </w:r>
    </w:p>
    <w:p>
      <w:r>
        <w:t>En l'occurrence, l'état de frais est globalement adéquat. Seront retranchées 20 minutes consacrées à la rédaction de la déclaration d'appel par l'avocat stagiaire ainsi qu'une heure de lecture du jugement de première instance par le chef d'étude, ces activités étant comprises dans le forfait de 10 %. Les 14h de préparation d'audience seront réduites à 8h, compte tenu du fait que le dossier était largement connu et n'a pas connu de développement particulier en instance d'appel. L'indemnité sera en</w:t>
      </w:r>
    </w:p>
    <w:p>
      <w:r>
        <w:t>- 29/33 - P/1775/2019 outre augmentée de 5h correspondant à l'audience d'appel, plus CHF 100.- de vacation.</w:t>
      </w:r>
    </w:p>
    <w:p>
      <w:r>
        <w:t>En conclusion, l'indemnité de Me F______ sera arrêtée à CHF 3'683.40, correspondant à 13h d'activité au tarif de 200.-/heure (CHF 2'600.-) et 1h30 d'activité au tarif de CHF 110.-/heure (CHF 165.-), plus la majoration forfaitaire de 10 % (CHF 276.50) et CHF 100.- de vacation, l'équivalent de la TVA au taux de 7.7% (CHF 241.90) et CHF 300.- de débours. * * * * *</w:t>
      </w:r>
    </w:p>
    <w:p>
      <w:r>
        <w:t>- 30/33 - P/1775/2019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