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AARP/158/2025 vom 9. Mai 2025</w:t>
      </w:r>
    </w:p>
    <w:p>
      <w:r>
        <w:t>GE Cour de justice, 2025-05-09, FR</w:t>
      </w:r>
    </w:p>
    <w:p>
      <w:r>
        <w:rPr>
          <w:b/>
        </w:rPr>
        <w:t xml:space="preserve">Quelle: </w:t>
      </w:r>
      <w:r>
        <w:t>https://mcp.opencaselaw.ch/entscheid/ge_gerichte_AARP_158_2025</w:t>
      </w:r>
    </w:p>
    <w:p>
      <w:r>
        <w:t>FR: GE_GERICHTE AARP/158/2025 du 9 mai 2025</w:t>
      </w:r>
    </w:p>
    <w:p>
      <w:r>
        <w:t>IT: GE_GERICHTE AARP/158/2025 del 9 maggio 2025</w:t>
      </w:r>
    </w:p>
    <w:p>
      <w:pPr>
        <w:pStyle w:val="Heading2"/>
      </w:pPr>
      <w:r>
        <w:t>Erwägungen</w:t>
      </w:r>
    </w:p>
    <w:p>
      <w:r>
        <w:rPr>
          <w:b/>
        </w:rPr>
        <w:t>E. 1</w:t>
      </w:r>
    </w:p>
    <w:p>
      <w:r>
        <w:t>Les appels sont recevables pour avoir été interjetés et motivés selon la forme et dans les délais prescrits (art. 398 et 399 CPP). Il sera pris acte du retrait de l'appel formé par les parties plaignantes (art. 386 al. 2 let. a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À teneur de l'art. 144 al. 1 CP, quiconque, sans droit, endommage, détruit ou met hors d'usage une chose appartenant à autrui ou frappée d'un droit d'usage ou d'usufruit au bénéfice d'autrui, est, sur plainte, puni d'une peine privative de liberté de trois ans au plus ou d'une peine pécuniaire.</w:t>
      </w:r>
    </w:p>
    <w:p>
      <w:r>
        <w:rPr>
          <w:b/>
        </w:rPr>
        <w:t>E. 2.2</w:t>
      </w:r>
    </w:p>
    <w:p>
      <w:r>
        <w:t>La notion "[d']appartenance à autrui" se rapporte à la conception de la propriété au sens du droit privé. L'art. 144 CP protège toutefois également les droits d'usage que d'autres personnes pourraient avoir sur une chose. Dès lors, le droit de déposer plainte n'appartient pas seulement au propriétaire, mais également à tout ayant droit privé de l'usage de la chose. La notion de "droit d'usage" contenue à l'art. 144 CP, qu'il s'agisse d'un usufruit - expressément mentionné à l'art. 144 al. 1 CP - ou d'un autre droit (servitude, droit de passage, droit d'habitation, bail à loyer, bail à ferme, prêt à usage, leasing, autre droit d'usage contractuellement conféré), doit également s'examiner en fonction des règles du droit privé (arrêt du Tribunal fédéral 7B_74/2023 du 30 septembre 2024 consid. 2.2.3).</w:t>
      </w:r>
    </w:p>
    <w:p>
      <w:r>
        <w:rPr>
          <w:b/>
        </w:rPr>
        <w:t>E. 2.3</w:t>
      </w:r>
    </w:p>
    <w:p>
      <w:r>
        <w:t>L'objet de l'infraction est une chose, à savoir un objet corporel, mobilier ou immobilier (arrêt du Tribunal fédéral 6B_74/2023 du 30 septembre 2024 consid. 2.2.2). L'atteinte peut consister à détruire ou à altérer la chose, mais aussi à la modifier d'une manière propre à en supprimer ou en réduire l'usage, les propriétés, les fonctions ou l'agrément (arrêt du Tribunal fédéral 6B_978/2014 du 23 juin 2015 consid. 3.3.1 non publié aux ATF 141 IV 305).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ou encore en salissant l'uniforme d'un fonctionnaire (ATF 128 IV 250 consid. 2 p. 252 ; arrêts du Tribunal fédéral 6B_77/2017 du 16 janvier 2018 consid. 2.1 et les références ; 6B_348/2012 du 24 octobre 2012 consid. 2.2). La protection pénale est donnée même aux choses objectivement sans valeur économique ou esthétique. Seul l'intérêt légitime du lésé est toutefois protégé. Il faut</w:t>
      </w:r>
    </w:p>
    <w:p>
      <w:r>
        <w:t>- 5/13 - P/13921/2022 ainsi réserver la faculté de déclarer la plainte abusive si elle est déposée par pure chicane, la modification étant insignifiante ou ne présentant manifestement que des avantages (ACPR/509/2016 du 16 août 2016 ; B. CORBOZ, Les Infractions en droit suisse, Berne 2010, vol. I., n. 20-21 ad art. 144 et les références citées).</w:t>
      </w:r>
    </w:p>
    <w:p>
      <w:r>
        <w:rPr>
          <w:b/>
        </w:rPr>
        <w:t>E. 2.4</w:t>
      </w:r>
    </w:p>
    <w:p>
      <w:r>
        <w:t>L'art. 9 CPP consacre la maxime d'accusation, laquelle découle également des art. 29 al. 2 de la constitution fédérale (Cst.;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La description des faits reprochés dans l'acte d'accusation doit être la plus brève possible (art. 325 al. 1 let. f CPP). 2.5.1. En l'espèce, la prévenue a fait appel à un serrurier pour ouvrir un coffre-fort dont elle était propriétaire en main commune (art. 560 du code civil [CC]) avec les parties plaignantes, hors la présence de celles-ci, l'endommageant de la sorte. Ces faits sont précisément décrits dans l'acte d'accusation et elle a parfaitement compris ce qui lui était reproché : c'est en vain qu'elle se prévaut d'une violation de la maxime d'accusation. Reste à déterminer si ces faits sont constitutifs de dommages à la propriété. 2.5.2. Les parties s'accordent sur le fait que le coffre-fort, en tant qu'objet, n'avait qu'une valeur résiduelle, ce d'autant qu'il était difficile à ouvrir et nécessitait l'intervention d'un spécialiste. Il ressort toutefois clairement de leurs déclarations que la principale fonction de ce meuble était sa capacité à conserver son contenu et à le protéger de tout accès indu. La valeur de ce coffre-fort résidait ainsi dans sa fonction de conservation des biens appartenant à la succession, en l'état et sans que l'un ou l'autre des héritiers ne puisse y accéder sans l'acquiescement des autres. Indépendamment de la valeur de son contenu, ce coffre-fort avait ainsi une valeur d'usage fondamentale pour les héritiers, consistant dans la protection de l'accès à ces</w:t>
      </w:r>
    </w:p>
    <w:p>
      <w:r>
        <w:t>- 6/13 - P/13921/2022 objets. En faisant procéder, seule et hors la présence de ses cohéritiers, à l'ouverture du coffre-fort, la prévenue a ainsi porté atteinte à la valeur essentielle du coffre-fort. Peu importe qu'elle ait, ce faisant, endommagé (ou non) le meuble lui-même, puisqu'en agissant de la sorte, elle a porté atteinte au principal usage du coffre-fort, usage pour lequel un tel objet est d'ailleurs conçu, soit la conservation des biens qu'il contient. Le verdict de culpabilité de dommages à la propriété doit ainsi être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l'appelante expose avoir agi pour accéder à des bijoux personnels dont elle affirme qu'ils se trouvaient dans le coffre-fort endommagé, qu'elle a ensuite déplacés sans jamais permettre à ses cohéritiers de connaître le contenu de celui-ci. Elle a manifestement agi dans le but de se soustraire à toute éventuelle contestation dans le cadre de la liquidation de la succession ; indépendamment du bien-fondé de son droit sur ces bijoux – question dont la CPAR n'est pas saisie – elle a agi pour se procurer un avantage, consistant à tout le moins à s'économiser toute contestation des autres membres de l'hoirie et récupérer des objets qu'elle affirmait lui appartenir sans permettre à ses cohéritiers de contester cette revendication. Elle a sans doute aussi agi</w:t>
      </w:r>
    </w:p>
    <w:p>
      <w:r>
        <w:t>- 7/13 - P/13921/2022 par mesquinerie, pour frustrer ses cohéritiers dans leur souhait d'accéder au contenu de ce coffre-fort. Quoi qu'il en soit, son mobile est égoïste.</w:t>
      </w:r>
    </w:p>
    <w:p>
      <w:r>
        <w:t>La situation personnelle de l'appelante n'explique ni ne justifie ses actes. Les difficultés rencontrées dans le cadre de la liquidation de la succession de son époux ne sauraient justifier qu'elle s'affranchisse de la sorte des règles légales, justement conçues pour résoudre de telles situations.</w:t>
      </w:r>
    </w:p>
    <w:p>
      <w:r>
        <w:t>L'appelante ne discute ni de la quotité de la sanction, ni du montant du jour-amende. Compte tenu du caractère relativement bénin de la faute commise, de la motivation égoïste, du caractère isolé de son comportement, mais aussi de sa collaboration médiocre, l'appelante n'ayant par exemple jamais fourni le moindre élément sur l'identité du serrurier à qui elle a fait appel, la peine de 30 jours-amende prononcée par le premier juge apparaît en tous points adéquate.</w:t>
      </w:r>
    </w:p>
    <w:p>
      <w:r>
        <w:t>Compte tenu de la situation financière peu favorable de l'appelante, le montant du jour-amende, qui correspond au minimum légal, sera également confirmé.</w:t>
      </w:r>
    </w:p>
    <w:p>
      <w:r>
        <w:t>Le bénéfice du sursis lui est acquis.</w:t>
      </w:r>
    </w:p>
    <w:p>
      <w:r>
        <w:t>L'appel doit ainsi être intégralement rejeté.</w:t>
      </w:r>
    </w:p>
    <w:p>
      <w:r>
        <w:rPr>
          <w:b/>
        </w:rPr>
        <w:t>E. 4.1</w:t>
      </w:r>
    </w:p>
    <w:p>
      <w:r>
        <w:t>Selon l'art. 426 al. 1 CPP, le prévenu supporte les frais de procédure s'il est condamné. L'alinéa 2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(ATF 138 IV 248 consid. 4.4.1 p. 254). Lorsque la condamnation n'est que partielle, les frais ne doivent être mis à sa charge que de manière proportionnelle, en considération des frais liés à l'instruction des infractions pour lesquelles un verdict de culpabilité a été prononcé. Toutefois, si les faits reprochés à l'accusé sont étroitement et directement liés et que tous les actes d'instruction relatifs à chaque chef d'accusation étaient nécessaires, il peut être condamné à payer l'intégralité des frais de la procédure d'instruction et de la procédure en première instance (arrêt du Tribunal fédéral 6B_460/2020 du 10 mars 2021 consid. 10.3.1).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au juge (arrêt du Tribunal fédéral 6B_1240/2018 du 14 mars 2019 consid. 1.1.1).</w:t>
      </w:r>
    </w:p>
    <w:p>
      <w:r>
        <w:t>- 8/13 - P/13921/2022</w:t>
      </w:r>
    </w:p>
    <w:p>
      <w:r>
        <w:rPr>
          <w:b/>
        </w:rPr>
        <w:t>E. 4.2</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rPr>
          <w:b/>
        </w:rPr>
        <w:t>E. 4.3</w:t>
      </w:r>
    </w:p>
    <w:p>
      <w:r>
        <w:t>L'appelante conteste la mise à sa charge complète des frais de la procédure préliminaire et de première instance, au motif qu'elle a bénéficié d'un acquittement pour une partie des faits reprochés. Il ressort toutefois clairement de la procédure, et même de l'ordonnance pénale valant acte d'accusation, que les faits dont elle a été acquittée sont étroitement liés à ceux pour lesquels elle est condamnée, et n'ont en particulier pas donné lieu à des actes d'instruction séparés. De plus, l'appelante, en ouvrant le coffre-fort sans l'aval de ses cohéritiers, a occasionné l'ouverture de la procédure pénale et le soupçon de tentative de vol du contenu de celui-ci (art. 426 al. 2 CPP). Sa condamnation à l'intégralité des frais de la procédure préliminaire et de première instance sera donc confirmée.</w:t>
      </w:r>
    </w:p>
    <w:p>
      <w:r>
        <w:rPr>
          <w:b/>
        </w:rPr>
        <w:t>E. 4.4</w:t>
      </w:r>
    </w:p>
    <w:p>
      <w:r>
        <w:t>L'appelante, qui succombe, supportera 80% des frais de la procédure d'appel envers l'État (art. 428 CPP). Le solde sera mis à la charge des parties plaignantes, dont l'appel a été retiré aux débats (art. 428 al. 1 dernière phrase CPP).</w:t>
      </w:r>
    </w:p>
    <w:p>
      <w:r>
        <w:rPr>
          <w:b/>
        </w:rPr>
        <w:t>E. 5.1</w:t>
      </w:r>
    </w:p>
    <w:p>
      <w:r>
        <w:t>L'indemnisation du prévenu est régie par les art. 429 à 432 CPP, dispositions aussi applicables à la procédure de recours par renvoi de l'art. 436 al. 1 CPP. Aux termes de l'art. 429 al. 1 CPP,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w:t>
      </w:r>
    </w:p>
    <w:p>
      <w:r>
        <w:rPr>
          <w:b/>
        </w:rPr>
        <w:t>E. 5.2</w:t>
      </w:r>
    </w:p>
    <w:p>
      <w:r>
        <w:t>La question de l'indemnisation du prévenu (art. 429 CPP) doit être traitée en relation avec celle des frais (art. 426 CPP). Si le prévenu supporte les frais en</w:t>
      </w:r>
    </w:p>
    <w:p>
      <w:r>
        <w:t>- 9/13 - P/13921/2022 application de l'art. 426 al. 1 ou 2 CPP, une indemnité est en règle générale exclue (ATF 137 IV 352 consid. 2.4.2 p. 357 ; arrêt 6B_187/2015 du 28 avril 2015 consid. 6.1.2).</w:t>
      </w:r>
    </w:p>
    <w:p>
      <w:r>
        <w:rPr>
          <w:b/>
        </w:rPr>
        <w:t>E. 5.3</w:t>
      </w:r>
    </w:p>
    <w:p>
      <w:r>
        <w:t>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Lorsque la partie plaignante ou le plaignant supporte les frais en application de l'art. 427 al. 2 CPP, une éventuelle indemnité allouée au prévenu peut en principe être mise à sa charge en vertu de l'art. 432 al. 2 CPP (arrêt du Tribunal fédéral 6B_108/2018 du 12 juin 2018 consid. 4.1). Par le renvoi de l'art. 436 al. 1 CPP, cette disposition s'applique également à la deuxième instance (arrêts du Tribunal fédéral 6B_1180/2017 du 25 avril 2018 consid. 5.2 ; 6B_438/2013 du 18 juillet 2013 consid. 3.1). Par ailleurs, selon la jurisprudence, les frais de défense du prévenu devant l'instance d'appel doivent être assumés par la partie plaignante dans le cas où seule celle-ci fait appel contre un acquittement prononcé à l'issue d'une procédure complète devant des tribunaux au sens de l'art. 13 CPP (ATF 139 IV 45 consid. 1 p. 47 s. ; arrêt du Tribunal fédéral 6B_108/2018 du 12 juin 2018 consid. 4.1).</w:t>
      </w:r>
    </w:p>
    <w:p>
      <w:r>
        <w:rPr>
          <w:b/>
        </w:rPr>
        <w:t>E. 5.4</w:t>
      </w:r>
    </w:p>
    <w:p>
      <w:r>
        <w:t>En l'espèce, l'appelante est condamnée à supporter l'intégralité des frais de la procédure préliminaire et de première instance ; elle sera par conséquent déboutée de ses conclusions en indemnisation pour cette étape de la procédure. L'appelante succombe intégralement dans son appel. Elle obtient toutefois gain de cause en lien avec l'appel formé et retiré par les parties plaignantes (art. 428 al. 1 2ème phrase). Conformément à la répartition des frais de procédure, les parties plaignantes seront dès lors condamnées à lui rembourser 20% des dépenses nécessaires occasionnées par la procédure d'appel, à l'exclusion toutefois de la durée des débats d'appel, l'appel des parties plaignantes ayant été retiré à l'ouverture de ceux-ci. L'appelante a fait valoir des conclusions en indemnisation pour la procédure d'appel à hauteur de cinq heures et 45 minutes d'activité de son conseil, chef d'étude, hors débats d'appel. Une indemnité correspondant à 20% de cette activité, soit une heure et neuf minutes d'activité à CHF 450.- de l'heure, lui sera allouée, soit CHF 559.40 TTC. Conformément à l'art. 432 CP, cette indemnité sera mise à la charge des parties plaignantes. 6. 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6.2. La partie plaignante obtient gain de cause au sens de l'art. 433 al. 1 CPP lorsque le prévenu est condamné et/ou si ses prétentions civiles sont admises. La juste</w:t>
      </w:r>
    </w:p>
    <w:p>
      <w:r>
        <w:t>- 10/13 - P/13921/2022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139 IV 102 consid. 4.1 et consid. 4.5 ; arrêt du Tribunal fédéral 6B_938/2023 consid. 4.1 non publié aux ATF 150 IV 273). 6.3. En l'espèce, les parties plaignantes ont obtenu gain de cause en première instance ; l'appelante ne critique pas le montant de l'indemnité allouée par le premier juge à ce titre, au-delà de l'acquittement plaidé. Cette indemnité sera dès lors confirmée. Pour la procédure d'appel, les parties plaignantes sollicitent une indemnité correspondant à une heure et demie d'activité de leur conseil, hors débats d'appel (lesquels ont duré une heure et demie). Les parties plaignantes ayant obtenu gain de cause, l'appelante sera condamnée à les indemniser, dans la même proportion que pour les frais. La durée de l'audience d'appel sera toutefois prise intégralement en compte pour l'indemnisation, celle-ci n'ayant porté que sur les conclusions de l'appelante. C'est ainsi une indemnité de CHF 1'313.40 ([80% de 1h30 + 1h30] x CHF 450.- plus TVA à 8.1%) qui sera allouée aux parties plaignantes et mise à la charge de l'appelante. * * * * *</w:t>
      </w:r>
    </w:p>
    <w:p>
      <w:r>
        <w:t>- 11/13 - P/13921/2022</w:t>
      </w:r>
    </w:p>
    <w:p>
      <w:r>
        <w:rPr>
          <w:b/>
        </w:rPr>
        <w:t>E. 7</w:t>
      </w:r>
    </w:p>
    <w:p>
      <w:r>
        <w:t>mars 2017 consid. 2.1 et les références ; 6B_187/2015 du 28 avril 2015 consid.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