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AARP/155/2024 vom 8. Mai 2024</w:t>
      </w:r>
    </w:p>
    <w:p>
      <w:r>
        <w:t>GE Cour de justice, 2024-05-08, FR</w:t>
      </w:r>
    </w:p>
    <w:p>
      <w:r>
        <w:rPr>
          <w:b/>
        </w:rPr>
        <w:t xml:space="preserve">Quelle: </w:t>
      </w:r>
      <w:r>
        <w:t>https://mcp.opencaselaw.ch/entscheid/ge_gerichte_AARP_155_2024</w:t>
      </w:r>
    </w:p>
    <w:p>
      <w:r>
        <w:t>FR: GE_GERICHTE AARP/155/2024 du 8 mai 2024</w:t>
      </w:r>
    </w:p>
    <w:p>
      <w:r>
        <w:t>IT: GE_GERICHTE AARP/155/2024 del 8 maggio 2024</w:t>
      </w:r>
    </w:p>
    <w:p>
      <w:pPr>
        <w:pStyle w:val="Heading2"/>
      </w:pPr>
      <w:r>
        <w:t>Erwägungen</w:t>
      </w:r>
    </w:p>
    <w:p>
      <w:r>
        <w:rPr>
          <w:b/>
        </w:rPr>
        <w:t>E. 40</w:t>
      </w:r>
    </w:p>
    <w:p>
      <w:r>
        <w:t>minutes (2023) respectivement à 54 minutes (2024) (soit 20% de trois heures et 20 minutes (2023) et de quatre heures et 30 minutes (2024)) au tarif horaire de CHF 450.- pour l'avocat chef d'étude, correspondant à un montant de CHF 760.90, TVA de 7.7% (CHF 23.10) respectivement de 8.1% (CHF 32.80) comprise, en lien avec la procédure d'appel. 6.2.3. Il est pris acte que l'appelant renonce à toute prétention fondée sur l'art. 429 al. 1 let. c CPP pour le surplus (cf. conclusions en indemnisation du 12 mars 2024). * * * * *</w:t>
      </w:r>
    </w:p>
    <w:p>
      <w:r>
        <w:t>- 17/19 - P/2262/2019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