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AARP/155/2016 vom 20. April 2016</w:t>
      </w:r>
    </w:p>
    <w:p>
      <w:r>
        <w:t>GE Cour de justice, 2016-04-20, FR</w:t>
      </w:r>
    </w:p>
    <w:p>
      <w:r>
        <w:rPr>
          <w:b/>
        </w:rPr>
        <w:t xml:space="preserve">Quelle: </w:t>
      </w:r>
      <w:r>
        <w:t>https://mcp.opencaselaw.ch/entscheid/ge_gerichte_AARP_155_2016</w:t>
      </w:r>
    </w:p>
    <w:p>
      <w:r>
        <w:t>FR: GE_GERICHTE AARP/155/2016 du 20 avril 2016</w:t>
      </w:r>
    </w:p>
    <w:p>
      <w:r>
        <w:t>IT: GE_GERICHTE AARP/155/2016 del 20 aprile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- 12/23 - P/10476/2012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repentir sincère visé à l'art. 48 let. d CP suppose une prise de conscience du caractère répréhensible de l'infraction et un changement d'état d'esprit sincère du délinquant. Pour bénéficier de cette circonstance atténuante,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2.2</w:t>
      </w:r>
    </w:p>
    <w:p>
      <w:r>
        <w:t>Les premiers juges ont admis que l'appelant avait pris la mesure de ses actes au cours de l'instruction, dès sa confrontation aux lésions infligées, et qu'il avait, quelques mois après sa libération, annoncé sa volonté de réparer le dommage causé, versant mensuellement un montant, qualifié de bien calibré, de CHF 600.- à ce titre, enfin qu'il avait constamment fait part de ses regrets et présenté des excuses. Toutefois, le Tribunal correctionnel a douté de la sincérité, au sens de l'art. 48 let. d CP, de la prise de conscience, en raison de la manière dont l'appelant s'était adressé à son ex-compagne lors des débats de première instance, propos démontrant qu'il externalisait et focalisait, pour partie, sa propre faute sur cette partie plaignante, la rendant responsable de la situation. Partant, la prise de conscience ne paraissait pas aboutie.</w:t>
      </w:r>
    </w:p>
    <w:p>
      <w:r>
        <w:t>Ce raisonnement pourrait mériter débat, dès lors que l'appelant n'a jamais attribué la responsabilité de son acte pénalement répréhensible à l'intimée (ou à son compagnon), mais bien uniquement, et en partie, celle du conflit exacerbé à l'origine de son explosion. Or, il est indiscutable que les deux parents de G______ (ainsi que, parce qu'il s'y est trouvé mêlé et a pris fait et cause pour sa compagne, l'intimé E______) ont contribué à l'installation puis l'aggravation de rapports conflictuels entre eux, autour des questions liées à l'enfant. Par ailleurs, l'appelant n'a pas nié qu'il lui aurait appartenu de se maîtriser, nonobstant ledit conflit.</w:t>
      </w:r>
    </w:p>
    <w:p>
      <w:r>
        <w:t>Quoi qu'il en soit, l'appelant a encore évolué depuis qu'il a prononcé sa phrase malheureuse devant les premiers juges, axant avec succès le suivi thérapeutique sur la problématique de son ressentiment à l'égard de son ex-compagne, ainsi qu'en a témoigné son médecin psychiatre en appel.</w:t>
      </w:r>
    </w:p>
    <w:p>
      <w:r>
        <w:t>- 13/23 - P/10476/2012</w:t>
      </w:r>
    </w:p>
    <w:p>
      <w:r>
        <w:t>Dans ces circonstances, plus rien ne s'oppose à ce que la circonstance atténuante plaidée soit octroyée, étant souligné que le MP ne s'y oppose d'ailleurs pas. En particulier, les versements effectués en faveur des parties plaignantes n'apparaissent pas dictés par des considérations tactiques, dans la mesure où ils ont été maintenus dans la durée et où leur quotité est à la limite des capacités financières de l'appelant.</w:t>
      </w:r>
    </w:p>
    <w:p>
      <w:r>
        <w:t>La circonstance atténuante est ainsi retenue, ce qui n'implique pas l'annulation formelle du jugement entrepris, le dispositif n'étant pas touché.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w:t>
      </w:r>
    </w:p>
    <w:p>
      <w:r>
        <w:t>- 14/23 - P/10476/2012 violée, des peines du même genre (méthode concrète) ; le fait que les dispositions pénales applicables prévoient, de manière abstraite, des peines d'un même genre ne suffit pas (ATF 138 IV 120 consid. 5.2 p. 122 ss). 3.1.2.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 du Tribunal fédéral 6B_42/2015 du 22 juillet 2015 consid. 2.3.1).</w:t>
      </w:r>
    </w:p>
    <w:p>
      <w:r>
        <w:rPr>
          <w:b/>
        </w:rPr>
        <w:t>E. 3.2</w:t>
      </w:r>
    </w:p>
    <w:p>
      <w:r>
        <w:t>Comme retenu par les premiers juges, la faute de l'appelant est très lourde, celui- ci ayant causé des lésions effroyables aux parties plaignantes, portant ainsi sérieusement et durablement atteinte à leur intégrité physique et psychique, toute leur vie s'en trouvant profondément altérée. Aux douleurs provoquées par les brûlures subies se sont ajoutés le calvaire de multiples interventions chirurgicales et greffes, l'atteinte à l'image de soi, l'invalidité de l'intimé E______, la dépression, le sentiment d'incompréhension. L'appelant connaissait parfaitement le mal qu'il pouvait faire. Son geste est perfide tant par le moyen choisi que par la motivation, qui s'agissant de laisser libre cours à ses émotions, sans égard pour le résultat totalement disproportionné, alors que d'autres solutions étaient à disposition. Le fait que les victimes aient contribué à la situation à l'origine de cette explosion n'exculpe en rien l'auteur. Les infractions de menaces sont d'une gravité moindre, mais ne sont pas dénuées d'importance, dans la mesure où elles ont ajouté au désarroi des victimes et démontrent que la pulsion destructrice de l'appelant a été très intense, à défaut d'être</w:t>
      </w:r>
    </w:p>
    <w:p>
      <w:r>
        <w:t>- 15/23 - P/10476/2012 durable. Face à la gravité des infractions aux préjudices des intimés, les dommages à la propriété aux véhicules garés à proximité sont plus anecdotiques. Il y a concours d'infractions. La collaboration de l'appelant à l'instruction a été bonne, étant cependant observé qu'il pouvait difficilement nier les faits. La prise de conscience est quant à elle réelle, comme cela a été relevé au chapitre de la circonstance atténuante plaidée. L'appelant a su s'extraire de la toxicomanie pour élever son fils, dont il a rapidement eu la garde. Il est travailleur et n'a pas d'antécédents judiciaires, ce qui est généralement un élément neutre en matière de fixation de la peine, mais mérite plus particulièrement d'être relevé, s'agissant d'un ancien consommateur de drogue. Au moment des faits, il vivait une relation affective stable, qui perdure aujourd'hui. La situation personnelle de l'appelant est ainsi globalement un élément favorable. Paradoxalement, cette situation favorable aurait pu jouer un rôle négatif, dans la mesure où elle rendrait d'autant plus incompréhensible le passage à l'acte, si n'étaient les troubles mis en exergue par l'expertise. À teneur de celle-ci, l'appelant souffre en effet d'anxiété généralisée et d'un trouble explosif intermittent. Ses agissements s'inscrivent dans ce contexte, le trouble explosif intermittent s'étant manifesté dans une situation de stress intermittent. La peine doit être réduite non seulement du fait de la responsabilité faiblement restreinte mais aussi de la circonstance atténuante du repentir sincère. Eu égard à l'ensemble des éléments qui précèdent, et sans sous-estimer la gravité de la faute, la Cour estime que la peine peut être arrêtée à trois ans, comme requis par l'appelant, avec l'accord implicite du MP, étant précisé qu'on se trouve dans un cas limite, où un poids important a été donné aux éléments favorables, compte tenu des aménagements pouvant in casu être mis en place concrètement, dans le contexte d'un sursis partiel (cf. infra). Le jugement sera modifié dans cette mesure.</w:t>
      </w:r>
    </w:p>
    <w:p>
      <w:r>
        <w:rPr>
          <w:b/>
        </w:rPr>
        <w:t>E. 4.1</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w:t>
      </w:r>
    </w:p>
    <w:p>
      <w:r>
        <w:t>- 16/23 - P/10476/2012 choix du "tout ou rien", mais dispose au contraire d'une marge d'appréciation plus étendue et d'une plus grande possibilité d'individualisation de la peine. 4.2.1.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4.2.2. Les conditions objectives de l'art. 42 CP et celles de l'art 43 CP ne correspondent en revanche pas. Ainsi, les peines privatives de liberté jusqu'à une année ne peuvent être assorties du sursis partiel. Une peine de 12 à 24 mois peut être assortie du sursis ou du sursis partiel. Le sursis total à l'exécution d'une peine privative de liberté est exclu, dès que celle-ci dépasse 24 mois. Jusqu'à 36 mois, le sursis partiel peut cependant être octroyé (ATF 134 IV 1 consid. 5.3.2 p. 11). 4.2.3.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4.2.4. Le juge doit, s'il prononce une peine privative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À titre de critère de cette appréciation, il y a lieu de tenir compte de façon appropriée de</w:t>
      </w:r>
    </w:p>
    <w:p>
      <w:r>
        <w:t>- 17/23 - P/10476/2012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w:t>
      </w:r>
    </w:p>
    <w:p>
      <w:r>
        <w:rPr>
          <w:b/>
        </w:rPr>
        <w:t>E. 4.3</w:t>
      </w:r>
    </w:p>
    <w:p>
      <w:r>
        <w:t>L'art. 44 al. 2 CP consacre la possibilité de subordonner le sursis ou le sursis partiel à une règle de conduite. Celle-ci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(arrêt du Tribunal fédéral 6B_626/2008 du 11 novembre 2008 consid. 6.1 ; ATF 130 IV 1 consid. 2.1 p. 2 s).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6B_626/2008 du 11 novembre 2008 consid. 6.1).</w:t>
      </w:r>
    </w:p>
    <w:p>
      <w:r>
        <w:rPr>
          <w:b/>
        </w:rPr>
        <w:t>E. 4.4</w:t>
      </w:r>
    </w:p>
    <w:p>
      <w:r>
        <w:t>En l'occurrence, l'absence d'antécédents de l'appelant et la durée de la peine autoriseraient l'octroi du sursis partiel. En ce qui concerne le pronostic, les éléments favorables qui tiennent au parcours de l'appelant et au repentir sincère qu'il manifeste concrètement sont mitigés par les troubles qu'il présente, lesquels sont en lien avec son passage à l'acte. Le danger représenté par ces troubles doit d'autant moins être relativisé que l'appelant a, par le passé, eu des comportements excessifs à l'égard de son fils notamment, comme relevé par l'expert. Aussi, s'il a estimé faible le risque de récidive, ce dernier n'en a pas moins préconisé un suivi d'orientation</w:t>
      </w:r>
    </w:p>
    <w:p>
      <w:r>
        <w:t>- 18/23 - P/10476/2012 psychothérapeutique couplé avec un traitement de l'anxiété généralisée. L'appelant est d'ailleurs conscient de la nécessité d'un tel suivi, auquel il s'est soumis dès sa sortie de prison. Il s'impose en outre que l'appelant continue de fournir l'effort de réparer le tort important causé aux victimes.</w:t>
      </w:r>
    </w:p>
    <w:p>
      <w:r>
        <w:rPr>
          <w:b/>
        </w:rPr>
        <w:t>E. 4.5</w:t>
      </w:r>
    </w:p>
    <w:p>
      <w:r>
        <w:t>En présence de cette situation d'une certaine complexité, le sursis partiel sera octroyé aux conditions suivantes : vu la gravité de la faute, qui n'a autorisé qu'exceptionnellement que la peine totale soit arrêtée à trois ans, la durée ferme de celle-ci est arrêtée à une année, ce qui permettra à l'appelant de bénéficier du régime de semi-détention de l'art. 77b CP ; l'appelant est astreint, au titre de règles de conduite, d'une part à suivre le traitement préconisé par l'expert, des attestations à cet effet devant être communiquées trimestriellement au Service d'application des peines et mesures, d'autre part à poursuivre les paiements en faveur des victimes, ainsi qu'il le propose, ce à concurrence de CHF 300.-/mois chacune, eu égard à ses capacités financières ; la durée du délai d'épreuve est fixée à quatre ans, dès lors qu'il apparait nécessaire d'assurer un respect à long terme des règles de conduite.</w:t>
      </w:r>
    </w:p>
    <w:p>
      <w:r>
        <w:rPr>
          <w:b/>
        </w:rPr>
        <w:t>E. 5</w:t>
      </w:r>
    </w:p>
    <w:p>
      <w:r>
        <w:t>5.1.1.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 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 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Zurich 2010, n. 9 ad art. 428 ; N. SCHMID, Schweizerische Strafprozessordnung : Praxiskommentar, Zurich 2009, n. 8 ad art. 428). La question de savoir si la modification de la décision est de peu d'importance s'apprécie selon les circonstances concrètes du cas d'espèce (arrêt du Tribunal fédéral 1B_575/2011 du 29 février 2012 consid. 2.1. ; M. NIGGLI / M. HEER / H. WIPRÄCHTIGER, op. cit., n. 21 ad art. 428).</w:t>
      </w:r>
    </w:p>
    <w:p>
      <w:r>
        <w:t>5.1.2. Le résultat de la procédure d'appel s'explique en grande partie par le fait que l'appelant a entrepris, avec succès il est vrai, de travailler sur son ressenti, qui l'avait amené à tenir des propos inadéquats lors des débats de première instance. Celui-ci se</w:t>
      </w:r>
    </w:p>
    <w:p>
      <w:r>
        <w:t>- 19/23 - P/10476/2012 trouve donc dans la situation où les conditions qui ont permis ledit résultat n'ont été réalisées qu'en appel. Par ailleurs, il obtient gain de cause dans une mesure importante, mais non totale, ayant réduit ses conclusions lors des débats et s'étant vu astreindre à une règle de conduite supplémentaire.</w:t>
      </w:r>
    </w:p>
    <w:p>
      <w:r>
        <w:t>Dans ces circonstances, un tiers des frais de la procédure d'appel, comprenant un émolument de CHF 1'800.-, sera mis à la charge de l'appelant, le solde étant laissé à celle de l'État.</w:t>
      </w:r>
    </w:p>
    <w:p>
      <w:r>
        <w:rPr>
          <w:b/>
        </w:rPr>
        <w:t>E. 5.2</w:t>
      </w:r>
    </w:p>
    <w:p>
      <w:r>
        <w:t>L'issue de la procédure d'appel ne commande pas de modifications de la répartition des frais de première instance (art. 428 al. 3 CPP). 5.3.1.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(ACPR/41/2012 du 30 janvier 2012 ; M. NIGGLI / M. HEER / H. WIPRÄCHTIGER (éds), op. cit., n. 10 ad art. 436). Les honoraires d'avocat se calculent selon le tarif local, à condition qu'ils restent proportionnés (N. SCHMID, op. cit., n. 7 ad art. 429) ; encore faut-il que l'assistance d'un avocat ait été nécessaire, compte tenu de la complexité de l'affaire en fait ou en droit, et que le volume de travail de l'avocat était ainsi justifié (Message, FF 2006 1309) ; le juge dispose d'une marge d'appréciation à cet égard, mais ne devrait pas se montrer trop exigeant dans l'appréciation rétrospective qu'il porte sur les actes nécessaires à la défense du prévenu (M. NIGGLI / M. HEER / H. WIPRÄCHTIGER (éds), op. cit., n. 19 ad art. 429). La Cour de justice applique un tarif horaire de CHF 450.- (ACPR/112/2014 du 26 février 2014, renvoyant au tarif "usuel" de CHF 400.- ressortant de la SJ 2012 I 175 et jugé non arbitraire par le Tribunal fédéral = SJ 2014 I 426 ; ACPR/279/2014 du 27 mai 2014, ACPR/21/2014 du 13 janvier 2014) ou de CHF 400.- (ACPR/282/2014 du 30 mai 2014), notamment si l'avocat concerné a lui-même calculé sa prétention à ce taux-là (ACPR/377/2013 du 13 août 2013). 5.3.2. Une partie des prestations facturées dans la note d'honoraires du défenseur privé de l'appelant excèdent les activités nécessaires. Ainsi en est-il des cinq entretiens pour un total de six heures et quinze minutes, trois entrevues, d'une durée d'au plus une heure chacune, étant suffisantes aux fins de la procédure d'appel. Tel est aussi le cas des 11 heures et quinze minutes globalement consacrées à la préparation de l'audience, recherches jurisprudentielles sur des notions de base, comprises. Au plus, un travail de six heures aurait pu suffire, étant rappelé que</w:t>
      </w:r>
    </w:p>
    <w:p>
      <w:r>
        <w:t>- 20/23 - P/10476/2012 l'avocat de l'appelant connaissait bien le dossier, pour avoir exercé le mandat tout au long de la procédure. Les frais de défense entrant en considération sont donc de CHF 6'156.- (TVA comprise, au taux de 8%) pour 12 heures 40 d'activité. Par analogie avec le raisonnement qui précède concernant les frais de la procédure d'appel, seuls les deux tiers, soit CHF 4'104.-, devront lui être remboursés au titre de l'art. 436 al. 2 CPP. * * * * *</w:t>
      </w:r>
    </w:p>
    <w:p>
      <w:r>
        <w:t>- 21/23 - P/10476/2012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