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AARP/154/2015 vom 24. März 2015</w:t>
      </w:r>
    </w:p>
    <w:p>
      <w:r>
        <w:t>GE Cour de justice, 2015-03-24, FR</w:t>
      </w:r>
    </w:p>
    <w:p>
      <w:r>
        <w:rPr>
          <w:b/>
        </w:rPr>
        <w:t xml:space="preserve">Quelle: </w:t>
      </w:r>
      <w:r>
        <w:t>https://mcp.opencaselaw.ch/entscheid/ge_gerichte_AARP_154_2015</w:t>
      </w:r>
    </w:p>
    <w:p>
      <w:r>
        <w:t>FR: GE_GERICHTE AARP/154/2015 du 24 mars 2015</w:t>
      </w:r>
    </w:p>
    <w:p>
      <w:r>
        <w:t>IT: GE_GERICHTE AARP/154/2015 del 24 marzo 2015</w:t>
      </w:r>
    </w:p>
    <w:p>
      <w:pPr>
        <w:pStyle w:val="Heading2"/>
      </w:pPr>
      <w:r>
        <w:t>Erwägungen</w:t>
      </w:r>
    </w:p>
    <w:p>
      <w:r>
        <w:rPr>
          <w:b/>
        </w:rPr>
        <w:t>E. 1.1</w:t>
      </w:r>
    </w:p>
    <w:p>
      <w:r>
        <w:t>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t>- 7/20 - P/11417/2012</w:t>
      </w:r>
    </w:p>
    <w:p>
      <w:r>
        <w:rPr>
          <w:b/>
        </w:rPr>
        <w:t>E. 1.2</w:t>
      </w:r>
    </w:p>
    <w:p>
      <w:r>
        <w:t>La juridiction d'appel rend par écrit sa décision sur la recevabilité de l'appel lorsque la direction de la procédure ou une partie fait valoir que l'annonce ou la déclaration d'appel est tardive ou irrecevable, et ce après avoir donné aux parties l’occasion de se prononcer à ce sujet (art. 403 al. 1 et 2 CPP). L’art. 403 al. 1 CPP renvoie à la procédure écrite de l’art. 390 CPP (A. KUHN / Y. JEANNERET (éds), Commentaire romand : Code de procédure pénale suisse, Bâle 2011, n° 2 ad art. 403 ; cf. le texte allemand de l’art. 403 al. 1 CPP : «in einem schriftlichen Verfahren»), dont l’alinéa 2 dispose qu’il y a lieu de renoncer à interpeller les parties, si le recours est manifestement irrecevable ou mal fondé. On est en présence d’un cas d’irrecevabilité manifeste lorsqu’aucune déclaration d’appel ne parvient à la juridiction d’appel, en violation de l’art. 399 al. 3 CPP (N. SCHMID, Schweizerische Strafprozessordnung : Praxiskommentar, Zurich 2009, n° 8 ad art. 403 et n° 4 ad art. 390 ; A. DONATSCH / T. HANSJAKOB / V. LIEBER (éds), Kommentar zur Schweizerischen Strafprozessordnung (StPO), Zurich 2010, n° 5 ad art. 390 et n° 4 ad art. 403 ; M. NIGGLI / M. HEER / H. WIPRÄCHTIGER, Schweizerische Straf- prozessordnung / Schweizerische Jugendstrafprozessordnung, Basler Kommentar StPO/JStPO, Bâle 2011, n° 2 ad art. 390).</w:t>
      </w:r>
    </w:p>
    <w:p>
      <w:r>
        <w:rPr>
          <w:b/>
        </w:rPr>
        <w:t>E. 1.3</w:t>
      </w:r>
    </w:p>
    <w:p>
      <w:r>
        <w:t>Le formalisme excessif est un aspect particulier du déni de justice prohibé par l'art. 29 al. 1 de la Constitution fédérale de la Confédération suisse du 18 avril 1999 (Cst. ; RS 101). Il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p. 9 ; 132 I 249 consid. 5 p. 253 ; 130 V 177 consid. 5.4.1 p. 183 ; 128 II 139 consid. 2a p. 142 ; 127 I 31 consid. 2a/bb p. 34). L'excès de formalisme peut résider soit dans la règle de comportement imposée au justiciable par le droit cantonal, soit dans la sanction qui lui est attachée (G. PIQUEREZ / A. MACALUSO, Procédure pénale suisse, 3e éd., Genève/Zurich/Bâle 2011, p. 67 n° 190 ; ATF 130 V 177 consid. 5.4.1 p. 183 ; 128 II 139 consid. 2a p. 142 ; 127 I 31 consid. 2a/bb p. 34 et les arrêts cités). En tant qu'elle sanctionne un comportement répréhensible de l'autorité dans ses relations avec le justiciable, l'interdiction du formalisme excessif poursuit le même but que le principe de la bonne foi consacré aux art. 5 al. 3 et 9 Cst. A cet égard, l'interdiction du formalisme excessif commande à l'autorité d'éviter de sanctionner par l'irrecevabilité les vices de procédure aisément reconnaissables qui auraient pu être redressés à temps, lorsque celle-ci pouvait s'en rendre compte assez tôt et les signaler utilement au plaideur (arrêt du Tribunal fédéral du 15 août 2012, 1B_71/2012 ; ATF 125 I 166 consid. 3a p. 170 ; 124 II 265 consid. 4a p. 270 et les références citées).</w:t>
      </w:r>
    </w:p>
    <w:p>
      <w:r>
        <w:rPr>
          <w:b/>
        </w:rPr>
        <w:t>E. 1.4</w:t>
      </w:r>
    </w:p>
    <w:p>
      <w:r>
        <w:t>En l'espèce, l'intimé conclut à la non entrée en matière sur l'appel de la partie plaignante, estimant qu'il est difficile de considérer son écriture confuse comme une déclaration d'appel.</w:t>
      </w:r>
    </w:p>
    <w:p>
      <w:r>
        <w:t>- 8/20 - P/11417/2012 Comparaissant seule, A______, de nationalité ______ et s'exprimant par écrit dans un français parfois approximatif, a dans son courrier expédié le 15 juin 2014 au Tribunal de police "fait appel contre" le jugement du 3 juin 2014 dans la mesure où il a acquitté B______ du chef d'escroquerie. Elle expose que le prévenu a admis qu'il n'avait d'emblée pas l'intention de lui rembourser le montant de CHF 4'000.- remis prétendument pour des soins pour sa grand-mère au pays, avait au moment de ce prêt sur son propre compte bancaire CHF 800.- (recte : CHF 8'000.-) et avait d'emblée accepté que l'argent saisi sur son compte serve à la rembourser. Au fond, elle demande qu'il soit revenu sur la décision d'acquittement du prévenu selon l'argumentation développée par le Ministère public dans son ordonnance pénale du</w:t>
      </w:r>
    </w:p>
    <w:p>
      <w:r>
        <w:rPr>
          <w:b/>
        </w:rPr>
        <w:t>E. 4</w:t>
      </w:r>
    </w:p>
    <w:p>
      <w:r>
        <w:t>mars 2013 et que le montant de CHF 4'000.- lui soit remboursé. Il y a ainsi lieu de considérer l'annonce d'appel du 15 juin 2014 comme valant également déclaration d'appel au sens de l'art. 399 al. 3 CPP au vu des circonstances particulières du cas d'espèce, soit une partie plaignante de langue maternelle anglophone comparaissant seule et non aguerrie à la procédure pénale. Décider différemment reviendrait à consacrer un formalisme excessif. 2. 2.1. 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 2.2. L'art. 146 CP réprime le comportement de celui qui, dans le dessein de se procurer ou de procurer à un tiers un enrichissement illégitime, aura astucieusement</w:t>
      </w:r>
    </w:p>
    <w:p>
      <w:r>
        <w:t>- 9/20 - P/11417/2012 induit en erreur une personne et l’aura de la sorte déterminé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(cf. ATF 119 IV 210 consid. 3 p. 212).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 dire par ses paroles ou par ses actes, il ait confirmé la dupe dans son erreur ; cette hypothèse se distingue des deux précédentes en ce sens que l'erreur est préexistante (arrêts du Tribunal fédéral 6S.18/2007 du 2 mars 2007 consid. 2.1.1. et 6S.380/2001 du 13 novembre 2001 consid. 2b/aa non publié à l’ATF 128 IV 255 et les références citées). Pour qu'il y ait escroquerie, une simple tromperie ne suffit cependant pas ; il faut qu'elle soit astucieuse. Il y a astuce lorsque l'auteur recourt à des manœuvres frauduleuses, à une mise en scène comportant des documents ou des actes ou à un échafaudage de mensonges qui se recoupent de façon si raffinée que même une victime critique se laisserait tromper (ATF 135 IV 76 consid. 5.2 p. 79 ; ATF 122 IV 197 consid. 3d p. 205). Il y a ainsi manœuvre frauduleuse, par exemple, si l'auteur emploie un document faux ou fait intervenir, à l'appui de sa tromperie, un tiers participant ou manipulé. L'astuce sera également retenue si, en fonction des circonstances, une vérification ne pouvait pas être exigée de la dupe (ATF 126 IV 165 consid. 2a p. 171). L'astuce sera également admise lorsque l'auteur exploite un rapport de confiance préexistant propre à dissuader la dupe d'effectuer certaines vérifications (ATF 126 IV 165 consid. 2a p. 171 ; 125 IV 124 consid. 3a p. 127 s. et les arrêts cités).</w:t>
      </w:r>
    </w:p>
    <w:p>
      <w:r>
        <w:t>- 10/20 - P/11417/2012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 peut donc être niée que si la tromperie pouvait être empêchée par des précautions qui peuvent être qualifiées d'élémentaires dans la situation de la dupe. Le principe de coresponsabilité ne saurait cependant être utilisé pour nier trop aisément le caractère astucieux de la tromperie (ATF 128 IV 18 consid. 3a p. 20 s.). Enfin, pour que le crime d'escroquerie soit consommé, l'erreur dans laquelle la tromperie astucieuse a mis ou conforté la dupe doit avoir déterminé celle-ci à accomplir un acte préjudiciable à ses intérêts pécuniaires, ou à ceux d'un tiers. Il n'est pas nécessaire que l'acte de la dupe cause un dommage définitif ; un préjudice temporaire ou provisoire suffit.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p. 107 s). Sur le plan subjectif, l'escroquerie est une infraction intentionnelle. Conformément aux règles générales, l'intention doit porter sur l'ensemble des éléments constitutifs objectifs de l'infraction. S'agissant d'une escroquerie, il faut en particulier que l'auteur ait eu l'intention de commettre une tromperie astucieuse (cf. ATF 128 IV 18 consid. 3b p. 21). L'auteur doit en outre avoir agi dans le dessein de se procurer ou de procurer à un tiers un enrichissement illégitime, soit un avantage patrimonial correspondant au désavantage patrimonial constituant le dommage (ATF 134 IV 210 consid. 5.3 p. 213 s.).</w:t>
      </w:r>
    </w:p>
    <w:p>
      <w:r>
        <w:t>- 11/20 - P/11417/2012 2.3. En l'espèce, il n'est pas discuté et au demeurant établi par les pièces versées au dossier, dont la documentation bancaire, que la plaignante a viré sur le compte Banque E______ de l'intimé le montant de CHF 4'000.- valeur ______ 2012. Il est également une constante qu'au moment de ce virement, appelante et intimé entretenaient une relation intime depuis quelques mois. Il ressort tout aussi clairement de l'échange de SMS intervenu entre eux le ______ 2012 qu'en vue d'obtenir CHF 4'000.-, de l'appelante, l'intimé a dit avoir besoin de CHF 7'000.-. pour sa grand-mère et n'en avoir que CHF 3'000.- à la banque, qu'il considérait le geste qu'il attendait d'elle comme un prêt, qu'il a lourdement insisté et, face aux doutes affichés par l'appelante, a cherché à la rassurer. Il a aussi usé de chantage affectif. S'il ressort de la procédure que plus d'une semaine plus tard il a fait virer CHF 6'000.- à son père, il n'a jamais été établi que cet argent avait servi à l'usage avancé à l'appelante pour la convaincre de lui verser CHF 4'000.-, à savoir le règlement de frais médicaux de la grand-mère de l'intimé. Le certificat figurant à la procédure ne permet pas de déterminer si cette personne a effectivement été hospitalisée, une consultation ambulatoire en hôpital étant possible, ni dans quel service, ni a fortiori qu'elle aurait effectivement dû subir une intervention chirurgicale. L'intimé n'a pas plus produit de facture permettant de faire le lien entre les CHF 6'000.- envoyés à son père en ______ et le règlement de frais médicaux pour sa grand-mère. Il a varié dans ses déclarations au sujet de l'hypothétique intervention chirurgicale subie par sa grand-mère. Qui plus est, au moment de la réception sur son compte Banque E______ du montant de CHF 4'000.- versé par l'appelante, l'intimé disposait en compte de plus de CHF 8'300.-, soit un montant de CHF 2'300.- supérieur aux CHF 6'000.- transférés et suffisant pour assumer son entretien mensuel. Enfin, il a reconnu n'avoir d'emblée pas eu l'intention de rembourser la plaignante, alors même que dans l'échange de SMS du ______ 2012 il évoquait clairement un prêt. Tous ces éléments amènent à considérer que c'est bien sous un prétexte fallacieux que l'intimé a obtenu de la plaignante le virement de CHF 4'000.- avec pour idée initiale de ne jamais la rembourser. Il a pour parvenir à ses fins, ce qu'il ne nie pas, mis celle-ci en contact avec sa grand-mère via Skype. Il a profité de la relation intime entretenue avec la plaignante, de leur lien de confiance et de la crainte manifestée par elle dans ses SMS de le perdre pour le cas où elle ne viendrait pas en aide à sa grand- mère, ce afin de l'induire en erreur. Dans ces circonstances, on ne pouvait attendre d'elle qu'elle fasse des vérifications complémentaires permettant de déterminer que l'intimé avait d'emblée l'intention de ne pas la rembourser, qu'il disposait d'espèces suffisantes sur son compte bancaire pour venir en aide à sa famille, ni qu'elle demande en avance une facture de soins au demeurant jamais produite. Il sera encore relevé que l'intimé a agi à l'encontre de la plaignante durant la même période que la tentative de recel du ______ 2012 pour laquelle il a été condamné par jugement du 3 juin 2014, démontrant par-là une volonté générale de s'en prendre au patrimoine d'autrui par des agissements illégaux.</w:t>
      </w:r>
    </w:p>
    <w:p>
      <w:r>
        <w:t>- 12/20 - P/11417/2012 Il ne fait aucun doute que l'intimé a agi dans un but d'enrichissement illégitime, faisant au final profiter lui-même ou sa famille en ______ de la somme versée par la plaignante. L'appel de partie plaignante doit partant être admis et B______ reconnu coupable d'escroquerie au sens de l'art. 146 al. 1 CP. Le jugement entrepris sera modifié sur ce point. 3. L'art. 146 al. 1 CP réprime d'une peine privative de liberté de cinq ans au plus ou d'une peine pécuniaire l'auteur d'une escroquerie.</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w:t>
      </w:r>
    </w:p>
    <w:p>
      <w:r>
        <w:rPr>
          <w:b/>
        </w:rPr>
        <w:t>E. 4.2</w:t>
      </w:r>
    </w:p>
    <w:p>
      <w:r>
        <w:t>L'appelante réclame la somme de CHF 4'000.- à titre de dommage consécutif à la remise le ______ 2012 de ce même montant à l'intimé, sur son compte bancaire N° 1______ auprès de la Banque E______. Son dommage et le lien de causalité avec l'escroquerie dont elle a été victime de la part de l'intimé sont établis à teneur de la procédure. Il est également établi à teneur des pièces de la procédure que l'intimé a accepté que le montant de CHF 4'000.- soit rendu à la partie plaignante par prélèvement sur son compte Banque E______ séquestré depuis le ______ 2012. Il apparaît toutefois qu'à cette date le solde de ce compte bancaire était débiteur. Ce n'est que par la suite que le compte a été réalimenté par des fonds sans lien avec le dommage allégué par la partie plaignante. Pour ces motifs, le montant séquestré sur le compte N° 1______ auprès de la Banque E______ ne peut pas être remis à l'appelante, à concurrence de CHF 4'000.-, sans faire l'objet d'une procédure d'allocation au lésé au sens de l'art. 73 CP. Dans la mesure cependant où la partie plaignante n'a pas cédé sa créance à l'Etat à due concurrence, la condition figurant à l'art. 73 al. 2 CP n'est pas réalisée et rend impossible en l'état une allocation à l'appelante du montant de CHF 4'000.- se trouvant sur le compte séquestré. Ne reste plus dans ce cas que le prononcé à l'encontre de l'intimé d'une créance compensatrice de l'Etat de CHF 4'000.-, avec compensation du même montant se trouvant au crédit du compte N° 1______ auprès de la Banque E______. Le séquestre sera levé pour le surplus.</w:t>
      </w:r>
    </w:p>
    <w:p>
      <w:r>
        <w:rPr>
          <w:b/>
        </w:rPr>
        <w:t>E. 5</w:t>
      </w:r>
    </w:p>
    <w:p>
      <w:r>
        <w:t>L'appel de la partie plaignante ayant été admis, il ne sera pas perçu de frais (art. 428 CPP a contrario).</w:t>
      </w:r>
    </w:p>
    <w:p>
      <w:r>
        <w:t>- 17/20 - P/11417/2012</w:t>
      </w:r>
    </w:p>
    <w:p>
      <w:r>
        <w:rPr>
          <w:b/>
        </w:rPr>
        <w:t>E. 6.1</w:t>
      </w:r>
    </w:p>
    <w:p>
      <w:r>
        <w:t>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6.2</w:t>
      </w:r>
    </w:p>
    <w:p>
      <w:r>
        <w:t>En l'espèce, Me C______ a été désigné défenseur d'office de l'intimé le 29 avril 2014. Me C______ a déposé devant la CPAR un état de frais pour l'activité, comme associé, déployée du 23 octobre 2014 au 8 janvier 2015, à hauteur de 2h45. L'état de frais sera admis à due concurrence, ce qui correspond à une indemnité de base de CHF 550.-. Il convient d'ajouter à ce montant l'indemnisation forfaitaire de 20%, soit CHF 110.-, plus la TVA de CHF 52.80.</w:t>
      </w:r>
    </w:p>
    <w:p>
      <w:r>
        <w:t>- 18/20 - P/11417/2012</w:t>
      </w:r>
    </w:p>
    <w:p>
      <w:r>
        <w:rPr>
          <w:b/>
        </w:rPr>
        <w:t>E. 7</w:t>
      </w:r>
    </w:p>
    <w:p>
      <w:r>
        <w:t>Par souci de clarté, le dispositif du jugement dont est appel sera entièrement annulé et formulé à nouveau. * * * * *</w:t>
      </w:r>
    </w:p>
    <w:p>
      <w:r>
        <w:t>- 19/20 - P/11417/2012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