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AARP/153/2019 vom 8. Mai 2019</w:t>
      </w:r>
    </w:p>
    <w:p>
      <w:r>
        <w:t>GE Cour de justice, 2019-05-08, FR</w:t>
      </w:r>
    </w:p>
    <w:p>
      <w:r>
        <w:rPr>
          <w:b/>
        </w:rPr>
        <w:t xml:space="preserve">Quelle: </w:t>
      </w:r>
      <w:r>
        <w:t>https://mcp.opencaselaw.ch/entscheid/ge_gerichte_AARP_153_2019</w:t>
      </w:r>
    </w:p>
    <w:p>
      <w:r>
        <w:t>FR: GE_GERICHTE AARP/153/2019 du 8 mai 2019</w:t>
      </w:r>
    </w:p>
    <w:p>
      <w:r>
        <w:t>IT: GE_GERICHTE AARP/153/2019 del 8 maggio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L'infraction de rupture de ban de l'art. 291 CP est un délit, passible d'une peine pécuniaire ou d'une peine privative de liberté de trois ans au plus, étant observé que, nonobstant l'importance du bien juridique protégé, le législateur n'a pas prévu de peine plancher, notamment pas à l'occasion de l'adoption des art. 66a ss CP. La rupture de ban est consommée dans deux hypothèses : lorsque l'auteur reste en Suisse après l'entrée en force de la décision d'expulsion alors qu'il a l'obligation de partir et d'autre part lorsqu'il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w:t>
      </w:r>
    </w:p>
    <w:p>
      <w:r>
        <w:t>- 6/14 - P/1213/2019 MAZOU / V. RODIGARI [éds], Code pénal – Petit commentaire, 2e éd., Bâle 2017, n. 11 et 12 ad art. 291 et références citées).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 2.2.2.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w:t>
      </w:r>
    </w:p>
    <w:p>
      <w:r>
        <w:t>- 7/14 - P/1213/2019 conduire à une augmentation massive de la peine, parce que cela reviendrait à condamner une deuxième fois pour des actes déjà jugés (ATF 120 IV 136 consid. 3b p. 145). 2.2.3. La peine privative de liberté est de trois jours au moins et de 20 ans au plus, sous réserve d'une peine privative de liberté à vie lorsque la loi le prévoit expressément (art. 40 CP).</w:t>
      </w:r>
    </w:p>
    <w:p>
      <w:r>
        <w:rPr>
          <w:b/>
        </w:rPr>
        <w:t>E. 2.3</w:t>
      </w:r>
    </w:p>
    <w:p>
      <w:r>
        <w:t>En l'espèce, l'appelant a contrevenu à l'expulsion judiciaire d'une durée de trois ans prononcée à son encontre le 6 décembre 2017, exécutable au plus tard au 31 août 2017. Il a nonobstant cette mesure persisté à séjourner en Suisse à compter de sa dernière sortie de prison le 3 janvier 2019, en toute connaissance de cause, et aurait continué à le faire s'il n'avait été interpellé 19 janvier suivant. Il avait alors certes en sa possession une valise, mais n'avait pris encore aucune mesure pour organiser son départ, à commencer par la recherche d'un moyen de transport et un contact avec son frère à G______ censé l'accueillir (cf. ses déclarations devant le Tribunal de police). La durée de la commission de l'infraction, telle que retenue dans l'acte d'accusation, n'est ainsi pas négligeable. Sa faute apparaît ainsi objectivement de gravité moyenne. Le mobile demeure son intérêt égoïste à demeurer en Suisse, le fait d'avoir selon ses dires passé deux mois de moins en prison qu'il n'avait prévu étant une excuse de circonstance. Bien que sorti de détention plus de deux semaines plus tôt, il n'avait en tout état pris aucune disposition concrète pour quitter la Suisse et ne le prétend d'ailleurs pas. Sa collaboration doit être qualifiée de moyenne. L'appelant a refusé de répondre aux questions de la police, sans que son taux relativement bas d'alcoolémie (0.10 mg/L soit environ 0.2 ‰) ne puisse l'expliquer. Il ne pouvait ensuite contester le caractère pénal de la situation vu les circonstances de son interpellation et ses condamnations spécifiques de mars, mai et novembre 2018. L'appelant se rit ouvertement des autorités et sa prise de conscience est dans ces circonstances médiocre. Sa situation personnelle est précaire, ce qui ne justifie cependant pas sa détermination à rester en Suisse. Les antécédents sont très mauvais et spécifiques s'agissant, outre des trois ruptures de ban susmentionnées, de 16 infractions à l'art. 115 al. 1 let. b aLEtr. Au vu de ces circonstances, la peine prononcée en première instance s'avère excessivement clémente et sera portée à cinq mois de peine privative de liberté. A juste titre, l'appelant ne remet pas en cause le type de peine prononcée, ni le refus du sursis.</w:t>
      </w:r>
    </w:p>
    <w:p>
      <w:r>
        <w:t>- 8/14 - P/1213/2019 L'appel du MP sera donc partiellement admis et le jugement de première instance réformé sur ce point.</w:t>
      </w:r>
    </w:p>
    <w:p>
      <w:r>
        <w:rPr>
          <w:b/>
        </w:rPr>
        <w:t>E. 4</w:t>
      </w:r>
    </w:p>
    <w:p>
      <w:r>
        <w:t>4.1. Aux termes de l'art. 51 CP, le juge impute sur la peine la détention avant jugement subie par l'auteur dans le cadre de l'affaire qui vient d'être jugée ou d'une autre procédure. Un jour de détention correspond à un jour-amende ou à quatre heures de travail d'intérêt général. La méthode de calcul est imposée par le législateur (arrêts du Tribunal fédéral 6B_389/2018 du 6 septembre 2018 consid. 1.1 ; 6B_671/2016 du 17 mai 2017 consid. 1.3).</w:t>
      </w:r>
    </w:p>
    <w:p>
      <w:r>
        <w:rPr>
          <w:b/>
        </w:rPr>
        <w:t>E. 4.2</w:t>
      </w:r>
    </w:p>
    <w:p>
      <w:r>
        <w:t>La détention avant jugement n'excédant pas la peine prononcée, la conclusion de l'appelant tendant à l'imputer sur la peine qu'il purge actuellement est rejetée.</w:t>
      </w:r>
    </w:p>
    <w:p>
      <w:r>
        <w:rPr>
          <w:b/>
        </w:rPr>
        <w:t>E. 5</w:t>
      </w:r>
    </w:p>
    <w:p>
      <w:r>
        <w:t>5.1.1. La détention pour des motifs de sûreté commence lorsque l'acte d'accusation est notifié au tribunal de première instance et s'achève lorsque le jugement devient exécutoire, que le prévenu commence à purger sa sanction privative de liberté ou qu'il est libéré (art. 220 al. 2 CPP). Avec le dépôt de l'acte d'accusation, la maîtrise de la procédure passe du ministère public à la direction de la procédure de l'autorité de première instance (art. 61 et 328 CPP), la détention provisoire prenant légalement fin (art. 220 al. 1 CPP). La distinction entre la détention provisoire et la détention pour des motifs de sûreté permet de discerner le stade de la procédure auquel la détention est ordonnée ou exécutée (Message du Conseil fédéral relatif à l'unification du droit de la procédure pénale du 21 décembre 2005, FF 2006 1057, p. 1210). Alors que la détention provisoire a essentiellement pour but de garantir les objectifs de la procédure d'instruction, la détention pour des motifs de sûreté vise à assurer la disponibilité du prévenu durant la procédure de première instance et la procédure de recours ainsi qu'à garantir l'exécution consécutive des sanctions privatives de liberté (Message du Conseil fédéral, op. cit., p. 1210). 5.1.2. La détention pour des motifs de sûreté ne peut être ordonnée que lorsque le prévenu est fortement soupçonné d'avoir commis un crime ou un délit ("charges suffisantes") et qu'il y a sérieusement lieu de craindre qu'il se soustraie à la procédure pénale ou à la sanction prévisible en prenant la fuite ("risque de fuite", art. 221 al. 1 let. a CPP), qu'il compromette la recherche de la vérité en exerçant une influence sur des personnes ou en altérant des moyens de preuves ("risque de collusion", art. 221 al. 1 let. b CPP) ou qu'il compromette sérieusement la sécurité d'autrui par des crimes ou des délits graves après avoir déjà commis des infractions du même genre ("risque de réitération", art. 221 al. 1 let. c CPP). 5.1.3. Lorsque les motifs de détention n'apparaissent que pendant la procédure devant la juridiction d'appel, la direction de la procédure de cette juridiction est compétente pour ordonner la détention, sa décision n'étant pas sujette à recours (art. 232 CPP). Bien que la juridiction d'appel se trouve dans une situation semblable à celle du tribunal de première instance au sens de l'art. 229 al. 2 CPP, le Tribunal des mesures</w:t>
      </w:r>
    </w:p>
    <w:p>
      <w:r>
        <w:t>- 9/14 - P/1213/2019 de contrainte n'intervient plus à ce stade de la procédure. En effet, cette exception au système du contrôle de la détention mis en œuvre par le CPP se justifie pour des motifs tenant à l'économie de la procédure et au rang qu'occupe chaque tribunal dans la hiérarchie des juridictions (Message du Conseil fédéral, op. cit., p. 1217 ; A. KUHN / Y. JEANNERET, op. cit., n. 2 ad art. 232 ; P. GOLDSCHMID / T. MAURER/ J. SOLLBERGER [éds], Kommentierte Textausgabe zur Schweizerischen Strafprozessordnung (StPO), Berne 2008, p. 221). 5.1.4. Le fait nouveau que représente un jugement d'appel – notamment la sanction prononcée – peut constituer un motif de détention apparu au cours de la procédure au sens de l'art. 232 al. 1 CPP (ATF 139 IV 277 consid. 2.2 p. 280 ; arrêt du Tribunal fédéral 1B_11/2018 du 29 janvier 2018 consid. 3.2).</w:t>
      </w:r>
    </w:p>
    <w:p>
      <w:r>
        <w:rPr>
          <w:b/>
        </w:rPr>
        <w:t>E. 5.2</w:t>
      </w:r>
    </w:p>
    <w:p>
      <w:r>
        <w:t>En l'espèce, la peine privative de liberté prononcée à l'encontre de l'appelant est portée de deux à cinq mois. Libéré par la CPAR avec effet immédiat par ordonnance du 5 avril 2019, il avait effectué 78 jours de détention avant jugement dans la présente procédure. Dans la mesure où il existe un risque concret que l'intimé se soustraie à la sanction à la fin de la peine qu'il purge actuellement (P/1______/2018) et entre à nouveau dans la clandestinité à sa sortie de prison, il se justifie d'ordonner sa mise en détention pour des motifs de sûreté à compter de son échéance, a priori le 4 juin 2019, pour garantir l'exécution de la nouvelle peine.</w:t>
      </w:r>
    </w:p>
    <w:p>
      <w:r>
        <w:rPr>
          <w:b/>
        </w:rPr>
        <w:t>E. 6</w:t>
      </w:r>
    </w:p>
    <w:p>
      <w:r>
        <w:t>L'appelant obtient partiellement partie gain de cause et l'intimé succombe. Ce dernier supportera donc les 3/4 des frais de la procédure d'appel, comprenant un émolument de CHF 1'500.- (art. 428 CPP). Le solde de ces frais sera laissé à la charge de l'Etat vu la qualité de l'appelant.</w:t>
      </w:r>
    </w:p>
    <w:p>
      <w:r>
        <w:rPr>
          <w:b/>
        </w:rPr>
        <w:t>E. 7</w:t>
      </w:r>
    </w:p>
    <w:p>
      <w:r>
        <w:t>7.1.1. Selon l'art. 135 al. 1 CPP, le défenseur d'office est indemnisé conformément au tarif des avocats du canton du for du procès. L'art. 16 let. c du règlement sur l'assistance juridique du 28 juillet 2010 (RAJ ; E 2 05.04) dispose que l'indemnité, en matière pénale, est calculée pour un chef d'étude selon le tarif horaire de CHF 200.-, débours de l'étude inclus.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w:t>
      </w:r>
    </w:p>
    <w:p>
      <w:r>
        <w:t>- 10/14 - P/1213/2019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7.1.2.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7.1.3. L'activité consacrée aux conférences, audiences et autres actes de la procédure est majorée de 20% jusqu'à 30 heures de travail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7.1.4.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w:t>
      </w:r>
    </w:p>
    <w:p>
      <w:r>
        <w:rPr>
          <w:b/>
        </w:rPr>
        <w:t>E. 7.2</w:t>
      </w:r>
    </w:p>
    <w:p>
      <w:r>
        <w:t>En l'occurrence, en application de ces principes, seront retranchées de la note d'honoraires de Me B______, défenseur d'office de A______ :  1h30 d'entretien le 3 avril 2019 avec le client, dans la mesure où seule une visite par mois d'un prévenu en détention est indemnisée ;  20 minutes le 29 mars 2019 du poste "préparation entretien", la visite au prévenu ne commandant en effet aucune démarche particulière en amont vu la nature de l'affaire ;  30 minutes du poste "demande de mise en liberté", qui tient à bon escient sur une page et ne contient pas de raisonnement complexe ;  15 minutes pour la "réplique", laquelle pourrait même entrer dans le forfait pour activités diverses ;</w:t>
      </w:r>
    </w:p>
    <w:p>
      <w:r>
        <w:t>- 11/14 - P/1213/2019  15 minutes du poste "consultation dossier", une durée identique s'avérant en effet, en sus de la vacation qui sera défrayée, amplement nécessaires pour relire des pièces préalablement transmises à la défense par la CPAR, défense qui au surplus avait connaissance de toutes les pièces de première instance pour les avoir reçues, en particulier le procès-verbal d'audience et le jugement ;  1h30 du poste "préparation audience", 30 minutes s'avérant amplement suffisantes pour reprendre cette affaire dénuée de toute complexité, nécessaire- ment maîtrisée par le conseil juridique à ce stade de la procédure et qui n'a connu aucun développement après le jugement de première instance. La durée effective de l'audience d'appel, soit 30 minutes, sera ajoutée à la note de frais.</w:t>
      </w:r>
    </w:p>
    <w:p>
      <w:r>
        <w:rPr>
          <w:b/>
        </w:rPr>
        <w:t>E. 7.3</w:t>
      </w:r>
    </w:p>
    <w:p>
      <w:r>
        <w:t>En conclusion, l'indemnité sera arrêtée à CHF 1'400.10 correspondant à 5h d'activité au tarif de CHF 200.-/heure (CHF 1'000.-) plus la majoration forfaitaire de 20 % (CHF 200.-) et un déplacement à l'audience de la CPAR à CHF 100.-, ainsi que l'équivalent de la TVA au taux de 7.7% (CHF 100.10). * * * * *</w:t>
      </w:r>
    </w:p>
    <w:p>
      <w:r>
        <w:t>- 12/14 - P/1213/2019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