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AARP/153/2018 vom 17. Mai 2018</w:t>
      </w:r>
    </w:p>
    <w:p>
      <w:r>
        <w:t>GE Cour de justice, 2018-05-17, FR</w:t>
      </w:r>
    </w:p>
    <w:p>
      <w:r>
        <w:rPr>
          <w:b/>
        </w:rPr>
        <w:t xml:space="preserve">Quelle: </w:t>
      </w:r>
      <w:r>
        <w:t>https://mcp.opencaselaw.ch/entscheid/ge_gerichte_AARP_153_2018</w:t>
      </w:r>
    </w:p>
    <w:p>
      <w:r>
        <w:t>FR: GE_GERICHTE AARP/153/2018 du 17 mai 2018</w:t>
      </w:r>
    </w:p>
    <w:p>
      <w:r>
        <w:t>IT: GE_GERICHTE AARP/153/2018 del 17 maggio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quotité de la peine (let. b) ; les mesures qui ont été ordonnées (let. c) et les frais (let. f).</w:t>
      </w:r>
    </w:p>
    <w:p>
      <w:r>
        <w:t>La Chambre limite son examen aux violations décrites dans l'acte d'appel (art. 404 al. 1 CPP), sauf en cas de décisions illégales ou inéquitables (art. 404 al. 2 CPP).</w:t>
      </w:r>
    </w:p>
    <w:p>
      <w:r>
        <w:rPr>
          <w:b/>
        </w:rPr>
        <w:t>E. 2</w:t>
      </w:r>
    </w:p>
    <w:p>
      <w:r>
        <w:t>2.1.1. À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w:t>
      </w:r>
    </w:p>
    <w:p>
      <w:r>
        <w:t>- 14/26 - P/24386/2015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(arrêts du Tribunal fédéral 6B_1307/2015 du 9 décembre 2016 consid. 4.3.2 et 6B_590/2013 du 22 octobre 2014 consid. 1.1). Il y a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Commentaire romand : Code de procédure pénale suisse, Bâle 2011, n. 17 ad art. 189). De plus,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"raisons sérieuses de douter du bien-fondé" de la première expertise ; il n'existait pas de droit à une pluralité d'expertises (OCA/37/2002 du 7 février 2002 consid. 4 ; OCA/28/2002 du 30 janvier 2002 consid. 2 ; OCA/36/2000 du 9 février 2000 ; G. PIQUEREZ, Procédure pénale suisse, 2e éd., 2007, p. 421 n. 625/626 ; HARARI / ROTH / STRÄULI, Chronique de procédure pénale genevoise 1986-1989, SJ 1990 p. 448 ; DINICHERT / BERTOSSA / GAILLARD, Procédure pénale genevoise,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(ACPR/196/2012 du 15 mai 2012 ; G. PIQUEREZ, ibidem). 2.1.2. Conformément à l'art. 339 al. 2, 3 et 4 CPP applicable par renvoi de l’art. 405 al. 1 CPP, la direction de la procédure de la juridiction d'appel statue immédiatement sur les questions préjudicielles ou incidentes soulevées durant les débats.</w:t>
      </w:r>
    </w:p>
    <w:p>
      <w:r>
        <w:rPr>
          <w:b/>
        </w:rPr>
        <w:t>E. 2.2</w:t>
      </w:r>
    </w:p>
    <w:p>
      <w:r>
        <w:t>En l'espèce, ni le premier ni le second rapport d'expertise, n'expliquent comment l'expert est arrivé à la conclusion d'une responsabilité pleine et entière de l'appelant au moment de la commission des actes envisagés. Lors de sa déposition orale, l'expert a précisé ce point en expliquant que les faits reprochés et la prise de substances s'inscrivaient sur une longue période et dans un contexte relativement sophistiqué. Une responsabilité entière devait être admise en lien avec les infractions</w:t>
      </w:r>
    </w:p>
    <w:p>
      <w:r>
        <w:t>- 15/26 - P/24386/2015 à la LCR, une altération ne pouvant être envisagée qu'en cas d'acte sur une courte durée. En revanche, l'expert a concédé que la responsabilité de l'appelant, toxicodépendant, s'agissant des infractions commises pour se procurer du zolpidem, pouvait être considérée "au plus" légèrement atteinte. Ces nouveaux développements sont suffisamment clairs et ne remettent pas en cause le diagnostic, dont il n'y a aucun motif de douter de l'exactitude, celui-ci ayant été clairement discuté et étayé dans l'expertise puis oralement. Il n'y a par ailleurs aucune raison de retenir une réduction plus importante de la responsabilité, l'expert l'ayant exclue et ses explications paraissant cohérentes et raisonnables. Ainsi, la Cour est d'avis qu'une nouvelle expertise psychiatrique n'est pas utile puisque tant le diagnostic que le degré de responsabilité ont suffisamment été clarifiés. Une responsabilité légèrement restreinte sera admise en ce qui concerne les comportements en lien avec l'approvisionnement en zolpidem, élément qui sera pris en compte dans la fixation de la peine.</w:t>
      </w:r>
    </w:p>
    <w:p>
      <w:r>
        <w:rPr>
          <w:b/>
        </w:rPr>
        <w:t>E. 3.1</w:t>
      </w:r>
    </w:p>
    <w:p>
      <w:r>
        <w:t>L'art. 146 al. 1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L'art. 251 ch. 1 CP punit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La peine menace prévue aux art. 90 al. 2, 91 al. 2 let. b et 95 al. 1 let. b LCR en lien avec une violation grave d'une règle de la circulation, la conduite malgré une incapacité et la conduite sans autorisation est une peine privative de liberté de trois ans au plus ou une peine pécuniaire.</w:t>
      </w:r>
    </w:p>
    <w:p>
      <w:r>
        <w:rPr>
          <w:b/>
        </w:rPr>
        <w:t>E. 3.1.3</w:t>
      </w:r>
    </w:p>
    <w:p>
      <w:r>
        <w:t>non publié in ATF 135 IV 152 ; cf. plus généralement : ATF 134 IV 1 consid. 4.2.3 p. 7).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 3.5.2.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w:t>
      </w:r>
    </w:p>
    <w:p>
      <w:r>
        <w:t>- 19/26 - P/24386/2015 (ATF 134 IV 140 consid. 4.4 et 4.5 p. 143 ss ; arrêt du Tribunal fédéral 6B_879/2016 du 22 juin 2017 consid. 3.1). 3.6.1. En l'espèce, la faute de l'appelant est grave. Il a, de manière répétée, mis en danger l'intégrité physique des autres usagers de la route en conduisant, entre juin 2015 et décembre 2016, alors qu'une interdiction lui avait formellement été notifiée dès le 11 avril 2012. Il a, à une reprise, perdu la maitrise de sa voiture, occasionnant des dégâts matériels, alors qu'il était sous l'emprise de médicaments. Une autre fois encore, il a adopté un comportement particulièrement dangereux en ne respectant pas la distance de sécurité avec le véhicule le précédant, puis en le dépassant par la droite avant de se rabattre sur la voie de gauche, tout en utilisant son téléphone portable non équipé d'un dispositif "mains libres". Il s'en est également pris au patrimoine d'autrui en obtenant des prestations médicales, se faisant faussement passer pour son neveu et en donnant les nom et prénom de celui-ci pour l'envoi des factures afin de se soustraire aux paiements. A ces éléments viennent encore s'ajouter l'atteinte à la confiance accordée par la société dans les écrits ayant une portée juridique, soit un bien collectif, l'appelant ayant, alors qu'il n'est pas médecin, rédigé des ordonnances médicales pour se faire délivrer des médicaments destinés à sa propre consommation. Ses mobiles semblent en partie liés à ses traits de personnalité dyssociale qui font qu'il ne se conforme pas aux normes sociales. L'appelant adopte une attitude méprisante et transgressive des droits d'autrui. S'agissant de la falsification des ordonnances médicales, celle-ci peut aussi s'expliquer par sa toxicodépendance. La responsabilité de l'appelant est malgré ce qui précède, pleine et entière, à l'exception du dernier point, pour lequel une légère atteinte doit être prise en compte. Sa collaboration à la procédure n'a rien de remarquable. L'appelant a certes admis les infractions à la LCR, étant relevé qu'il ne pouvait faire autrement au vu de ses interpellations en flagrant délit, qui auraient rendu difficile toute dénégation de sa part. S'agissant des ordonnances médicales, il a admis les avoir créées sur son ordinateur, tout en prétendant l'avoir fait en 2013 déjà et avoir été sanctionné pour cela dans un précédent jugement. Sa prise de conscience est ainsi imparfaite, l'appelant minimisant sa responsabilité dans les actes reprochés et ce malgré les regrets qu'il a exprimés notamment en appel. A cette même occasion il a aussi admis avoir acheté une voiture en décembre 2017 et avoir été arrêté au volant de celle-ci en février 2018 nonobstant les condamnations dont il fait l'objet et les procédures actuelles, ce qui démontre encore, si nécessaire, que sa prise de conscience de la gravité de ses actes est toute relative. Sa situation personnelle est difficile et peut en partie expliquer son comportement, qu'il s'agisse de sa grave dépendance au zolpidem, de ses traits de personnalité dyssociale ou de son statut incertain en Suisse.</w:t>
      </w:r>
    </w:p>
    <w:p>
      <w:r>
        <w:t>- 20/26 - P/24386/2015 L'appelant a de nombreux antécédents spécifiques inscrits au casier judiciaire en matière d'infractions à la LCR qui débutent dès septembre 2009 et datent pour la dernière d'octobre 2014. A cela s'ajoute un antécédent en matière d'escroquerie et un autre en matière de faux dans les certificats, datant aussi du 8 octobre 2014. Il y a concours d'infractions. Les actes abstraitement les plus graves au sens de l'art. 49 al. 1 CP sont ceux qualifiés d'escroquerie et de faux dans les titres, bien que les violations des dispositions de la LCR apparaissent, en l'occurrence, concrètement au moins aussi sérieuses, vu les risques que l'appelant fait courir aux autres usagers de la route et à lui-même. Aussi, la CPAR juge appropriée une peine privative de liberté de cinq mois en relation avec les premières infractions. Cette peine initiale doit être réduite de deux mois, l'appelant ayant, au stade de l'appel, été mis au bénéfice d'une responsabilité légèrement restreinte s'agissant de l'infraction de faux dans les titres. A ces trois mois s'ajouteront cinq mois afin de tenir compte du concours avec les autres infractions, d'où une peine privative de liberté globale de huit mois. Le premier jugement sera donc modifié en ce sens. 3.6.2. Vu le risque important de récidive retenu par l'expert et les antécédents de l'appelant, lesquels datent d'il y a moins de cinq ans, notamment une condamnation à une peine privative de liberté ferme de 13 mois en octobre 2014, le sursis est exclu, le pronostic étant concrètement défavorable. 3.6.3. Le sursis à la peine privative de liberté de dix mois octroyé à l'appelant dans le cadre du jugement du 9 décembre 2010 a été assorti d'un délai d'épreuve de cinq ans, lequel a ensuite été prolongé de deux ans et demi supplémentaires le 8 octobre 2014. L'appelant ayant commis des crimes et délits durant ledit délai, soit à tout le moins ceux reprochées dans le cadre de la présente procédure, la révocation du sursis à cette peine sera confirmée. La Cour est d'avis, tout comme le premier juge, que la nouvelle peine à elle seule n'aura pas un effet dissuasif suffisant sur l'appelant, qui a récidivé peu de temps après l'exécution d'une peine privative de liberté ferme de 13 mois. C'est sans compter qu'il avait, de son aveu, encore adopté un comportement pénalement répréhensible, se faisant interpeller en février 2018 au volant d'une voiture alors qu'il est toujours sous le coup d'une interdiction formelle de conduire. D'ailleurs, de l'avis de l'expert, seule une confrontation à la sanction, c'est-à-dire, dans le cas d'espèce, l'exécution d'une peine ferme serait susceptible de réduire le risque de violation de la loi en générale. Au surplus, l'argument de l'appelant tendant à ce que le verdict de 2010 soit indirectement corrigé pour tenir compte d'une réduction de responsabilité non retenue à tort à l'époque ne saurait à l'évidence être suivi, vu le principe de l'autorité de la chose jugée.</w:t>
      </w:r>
    </w:p>
    <w:p>
      <w:r>
        <w:t>- 21/26 - P/24386/2015 4. 4.1. Selon l'art. 56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CP). Dans ce cadre, l'expert devra notamment indiquer si l'infraction est en rapport avec un état physique ou mental particulier de l'auteur (trouble psychique, alcoolisme, toxicomanie, troubles du développement de la personnalité) (arrêt du Tribunal fédéral 6B_949/2016 du 14 juin 2017 consid. 3.2 et les références ; Message du 21 septembre 1998 concernant la modification du code pénal suisse [dispositions générales, entrée en vigueur et application du code pénal] et du code pénal militaire ainsi qu'une loi fédérale régissant la condition pénale des mineurs, FF 1999 II 1879 ch. 213.412). 4.2. L'art. 60 CP prévoient la possibilité de prononcer une mesure thérapeutique institutionnelle pour les délinquants souffrant de graves troubles mentaux ou d’addictions diverses. L’auteur doit avoir commis un crime ou un délit en rapport avec son état, le traitement devant être susceptible de le détourner de la commission d’autres infractions en relation avec cet état (art. 60 al. 1 CP). Le juge doit en outre tenir compte de la demande et de la motivation de l’auteur (art. 60 al. 2 CP). En application du principe de proportionnalité, le juge peut ordonner un traitement ambulatoire (art. 63 CP), cette mesure étant moins incisive qu’un traitement institutionnel. 4.3.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Selon l'art. 63 al. 4 CP, le traitement ambulatoire ne peut en règle générale excéder cinq ans. Dans la pratique, un traitement ambulatoire dure environ trois ans, puis est interrompu s'il ne fournit aucun résultat. Par ailleurs, il pourra survivre à la peine privative de liberté prononcée simultanément : si la situation du délinquant l'exige, il est donc possible de poursuivre le traitement ambulatoire au terme de l'exécution de la peine (R. ROTH / L. MOREILLON (éds), op. cit. ; ATF 100 IV 12, consid. 2c ;</w:t>
      </w:r>
    </w:p>
    <w:p>
      <w:r>
        <w:t>- 22/26 - P/24386/2015 M. DUPUIS / L. MOREILLON / C. PIGUET / S. BERGER / M. MAZOU / V. RODIGARI (éds), op. cit. ; FF 1999 1787 1898) 4.4. En l'espèce, l'appelant souffre d'une grave addiction au zolpidem qui induit un facteur élevé de risque de récidive d'infractions susceptibles de lui permettre de se procurer cette substance. Pour diminuer ce risque, l'expert est d'avis que l'appelant doit être sevré, ce qui est actuellement le cas, et qu'un traitement thérapeutique doit être organisé. L'expert précise qu'il peut s'agir d'une hospitalisation ou d'un traitement ambulatoire mis en place durant l'exécution d'une peine ferme, tout en indiquant que la seconde option est suffisante. Il préconise donc un suivi psychiatrique et psychothérapeutique dans le domaine de l'addictologie, à raison d'une fois par semaine sur plusieurs années, accompagné d'une mesure de réinsertion adaptée en centre spécialisé au vu de la complexité de la situation sociale de l'appelant. Cette même formule a d'ailleurs également été recommandée par le praticien par lequel l'appelant souhaite être suivi. Le risque de récidive en ce qui concerne d'autres infractions, notamment celles à la LCR, est lui lié aux traits de personnalité de l'appelant et non à son addiction, ainsi, malgré un sevrage, le risque de rechute subsisterait. Pour réduire ce risque, il n'existe pas de réponse médicale. Comme rappelé précédemment, seule une confrontation à la sanction, soit aux conséquences du passage à l'acte, qui serait ici l'incarcération, est susceptible d'être pertinent de l'avis de l'expert, pour réduire le risque. Tant les conditions d'applications de l'art. 60 al. 1 CP que celles de l'art. 63 al. 1 CP sont réalisées. Toutefois, la Cour constate que la première mesure citée est plus incisive que la seconde de sorte que, sous l'angle de la proportionnalité, c'est la dernière qui devrait en principe avoir la préférence, celle-ci portant les atteintes les moins graves à l'appelant. Le respect du principe de proportionnalité ne saurait toutefois à lui seul faire obstacle au choix de l'appelant de bénéficier d'une mesure au sens de l'art. 60 al. 1 CP, pour autant que ce choix soit suffisamment éclairé (art. 60 al. 2 CP). Or, en l'espèce, la requête de l'appelant n'est ni motivée ni documentée. Il est vrai que par le passé la mise en place d'un suivi ambulatoire n'a pas été concluante, l'appelant ne se présentant notamment pas à plusieurs rendez-vous. Cependant, depuis lors, celui-ci a clairement exprimé son désir de poursuivre et de se conformer à un tel traitement, qui d'après l'expertise est compatible avec la détention. Le Dr K______, médecin traitant de choix de l'appelant, a, pour sa part, expliqué que le fait que la prise en charge ambulatoire de son patient ne se soit jusqu'à présent pas déroulée de manière optimale, avait trait à des raisons indépendantes de la volonté de l'appelant. Le choix du traitement institutionnel semble quant à lui principalement motivé par le fait que l'appelant souhaite, de la sorte, éviter d'aller en prison. Celui-ci a en effet requis cette mesure uniquement dans l'hypothèse du prononcé d'une longue peine privative de liberté ferme (révocation du sursis du 9 décembre 2010 additionné à une nouvelle peine ferme), ne faisant pas part de démarches préalables en vue d'organiser une telle prise en charge et ne produisant aucun document venant appuyer</w:t>
      </w:r>
    </w:p>
    <w:p>
      <w:r>
        <w:t>- 23/26 - P/24386/2015 la nécessité d'un tel traitement. Bien au contraire, l'attestation médicale produite par l'appelant lui-même semble préconiser un traitement ambulatoire. La demande paraît donc être non mûrie et opportuniste. Ainsi, il n'apparaît pas de l'avis de l'expert et de celui du médecin traitant de l'appelant qu'un traitement institutionnel soit, pour l'instant, nécessaire à la réduction du risque de rechute de celui-ci. L'incarcération est d'ailleurs plus indiquée s'agissant de permettre à l'appelant de prendre conscience de son comportement illicite et d'empêcher qu'il ne continue sur cette voie. Par conséquent, la mesure la plus appropriée à la situation de l'appelant est celle de l'art. 63 al. 1 CP, la Cour n'ayant aucune raison de s'écarter des conclusions de l'expert. Elle se ralliera donc à la décision du premier juge d'ordonner un traitement ambulatoire, le jugement entrepris étant dès lors confirmé sur ce point.</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- 16/26 - P/24386/2015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w:t>
      </w:r>
    </w:p>
    <w:p>
      <w:r>
        <w:t>- 17/26 - P/24386/2015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s'agit de l'infraction pour laquelle la loi fixe la peine la plus grave, et non pas celle qui, dans l'espèce considérée, apparaît la plus grave du point de vue de la culpabilité (ATF 93 IV 7 = JdT 1967 IV 49). Dans un deuxième temps, le juge augmente donc cette peine pour sanctionner les autres infractions commises (M. DUPUIS / L. MOREILLON / C. PIGUET / S. BERGER / M. MAZOU / V. RODIGARI (éds), Code pénal - Petit commentaire, 2e éd., Bâle 2017, n. 13 ad art. 49 CP et références citées).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 arrêt du Tribunal fédéral 6B_975/2015 du 7 avril 2016 consid. 6.1.2). En bref, le juge doit procéder comme suit en cas de diminution de la responsabilité pénale : dans un premier temps, il doit décider, sur la base des constatations de fait de l'expertise, dans quelle mesure la responsabilité pénale de</w:t>
      </w:r>
    </w:p>
    <w:p>
      <w:r>
        <w:t>- 18/26 - P/24386/2015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(ATF 136 IV 55 consid. 5.7 p. 62 ss ; arrêt du Tribunal fédéral 6B_616/2015 du</w:t>
      </w:r>
    </w:p>
    <w:p>
      <w:r>
        <w:rPr>
          <w:b/>
        </w:rPr>
        <w:t>E. 5</w:t>
      </w:r>
    </w:p>
    <w:p>
      <w:r>
        <w:t>L’appelant, qui succombe pour l’essentiel, supportera les trois quarts des frais de la procédure d'appel, lesquels comprennent un émolument de CHF 3'000.- (art. 428 CPP), le solde étant laissé à la charge de l’Etat.</w:t>
      </w:r>
    </w:p>
    <w:p>
      <w:r>
        <w:rPr>
          <w:b/>
        </w:rPr>
        <w:t>E. 6</w:t>
      </w:r>
    </w:p>
    <w:p>
      <w:r>
        <w:t>L'activité déployée par le défenseur d'office en appel est en adéquation avec la nature, l'importance et la difficulté de la cause, de sorte qu'elle sera prise en compte dans son intégralité. L'indemnité due sera arrêtée à CHF 2'682.70 correspondant à une activité de dix heures et 21 minutes au tarif de CHF 200.-/heure plus la majoration forfaitaire de 20% (CHF 414.-), l'activité décomptée depuis l'ouverture de la procédure n'ayant pas dépassé 30 heures, et la TVA y relative (CHF 198.70 au taux de 8% selon la pratique transitoire du Pouvoir judiciaire). * * * * *</w:t>
      </w:r>
    </w:p>
    <w:p>
      <w:r>
        <w:t>- 24/26 - P/24386/2015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