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AARP/153/2016 vom 12. April 2016</w:t>
      </w:r>
    </w:p>
    <w:p>
      <w:r>
        <w:t>GE Cour de justice, 2016-04-12, FR</w:t>
      </w:r>
    </w:p>
    <w:p>
      <w:r>
        <w:rPr>
          <w:b/>
        </w:rPr>
        <w:t xml:space="preserve">Quelle: </w:t>
      </w:r>
      <w:r>
        <w:t>https://mcp.opencaselaw.ch/entscheid/ge_gerichte_AARP_153_2016</w:t>
      </w:r>
    </w:p>
    <w:p>
      <w:r>
        <w:t>FR: GE_GERICHTE AARP/153/2016 du 12 avril 2016</w:t>
      </w:r>
    </w:p>
    <w:p>
      <w:r>
        <w:t>IT: GE_GERICHTE AARP/153/2016 del 12 aprile 2016</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2.1</w:t>
      </w:r>
    </w:p>
    <w:p>
      <w:r>
        <w:t>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124 IV 193 consid. 3 et 4d p. 194 et 198).</w:t>
      </w:r>
    </w:p>
    <w:p>
      <w:r>
        <w:t>- 4/7 - PM/277/2016</w:t>
      </w:r>
    </w:p>
    <w:p>
      <w:r>
        <w:rPr>
          <w:b/>
        </w:rPr>
        <w:t>E. 2.2</w:t>
      </w:r>
    </w:p>
    <w:p>
      <w:r>
        <w:t>La doctrine précise que le détenu dispose d'une prétention, respectivement d'un droit à l'obtention de la libération conditionnelle (M. A. NIGGLI / H. WIPRÄCHTIGER, Basler Kommentar, Strafrecht I, Bâle 2007, n. 5 ad art. 86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2.3</w:t>
      </w:r>
    </w:p>
    <w:p>
      <w:r>
        <w:t>La condition objective de l'octroi de la libération conditionnelle de l'appelant est réalisée ce jour.</w:t>
      </w:r>
    </w:p>
    <w:p>
      <w:r>
        <w:t>La condition subjective ne l'est pas, comme retenu par le premier juge. Les antécédents de l'appelant sont mauvais et créent un risque pour l'ordre public, s'agissant aussi d'infractions contre le patrimoine. Ce risque est concret, vu la précarité de la situation de l'intéressé, qui demeure inchangée, et relève essentiellement de son entêtement à séjourner dans divers pays d'Europe plutôt que de retourner dans son pays, où il affirme pourtant avoir de la famille, apparemment</w:t>
      </w:r>
    </w:p>
    <w:p>
      <w:r>
        <w:t>- 5/7 - PM/277/2016 en mesure de l'aider puisqu'il dit qu'elle pourrait lui envoyer de l'argent. L'intéressé a d'ailleurs déjà bénéficié à une reprise de la mesure requise, sans la mettre à profit utilement. Sans être déterminant, le mauvais comportement durant la détention constitue un signal négatif ultérieur.</w:t>
      </w:r>
    </w:p>
    <w:p>
      <w:r>
        <w:t>Le recours doit partant être rejeté, frais à la charge de son auteur. * * * * *</w:t>
      </w:r>
    </w:p>
    <w:p>
      <w:r>
        <w:t>- 6/7 - PM/277/2016</w:t>
      </w:r>
    </w:p>
    <w:p>
      <w:r>
        <w:rPr>
          <w:b/>
        </w:rPr>
        <w:t>E. 3</w:t>
      </w:r>
    </w:p>
    <w:p>
      <w:r>
        <w:t>et 4d p. 194 et 198 ; A. KUHN / L. MOREILLON / B. VIREDAZ/ A. BISCHOFSKY, La nouvelle partie générale du Code pénal suisse, Berne, 2006, p. 361, S. TRECHSEL, op. cit., n. 8-9 ad art. 86).</w:t>
      </w:r>
    </w:p>
    <w:p>
      <w:r>
        <w:t>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