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AARP/153/2014 vom 2. April 2014</w:t>
      </w:r>
    </w:p>
    <w:p>
      <w:r>
        <w:t>GE Cour de justice, 2014-04-02, FR</w:t>
      </w:r>
    </w:p>
    <w:p>
      <w:r>
        <w:rPr>
          <w:b/>
        </w:rPr>
        <w:t xml:space="preserve">Quelle: </w:t>
      </w:r>
      <w:r>
        <w:t>https://mcp.opencaselaw.ch/entscheid/ge_gerichte_AARP_153_2014</w:t>
      </w:r>
    </w:p>
    <w:p>
      <w:r>
        <w:t>FR: GE_GERICHTE AARP/153/2014 du 2 avril 2014</w:t>
      </w:r>
    </w:p>
    <w:p>
      <w:r>
        <w:t>IT: GE_GERICHTE AARP/153/2014 del 2 aprile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w:t>
      </w:r>
    </w:p>
    <w:p>
      <w:r>
        <w:t>- 6/10 - PM/206/2014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w:t>
      </w:r>
    </w:p>
    <w:p>
      <w:r>
        <w:t>- 7/10 - PM/206/2014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t>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sera réalisée le ______2014. Le TAPEM, suite au second préavis défavorable du SAPEM et nonobstant celui favorable du Ministère public, a toutefois refusé la libération conditionnelle de l’appelant, au motif principalement que le risque de réitération était élevé, compte tenu de ses antécédents et des précédentes libérations conditionnelles qui s'étaient soldées par un échec. Le fait que la direction de la Maison de Montfleury ait aussi préavisé positivement la demande de l’appelant constitue un élément favorable qui ne saurait, à lui seul, conduire à l’octroi d’une libération conditionnelle. Il faut cependant concéder à l'appelant qu'il n'a pas récidivé depuis qu'il est entré dans cet établissement le ______ 2013, les faits à l'origine de la condamnation du ______ 2013 étant antérieurs à cette date, et qu'il s'y est très bien comporté si l'on excepte la consommation à une reprise de stupéfiants au début du mois précité, s'étant montré abstinent depuis lors, nonobstant les multiples occasions qu'il aurait pu avoir d'en prendre durant ses nombreuses activités à l'extérieur et ses heures de congé. Il apparaît également manifeste que les antécédents de l'appelant, qui n'impliquent aucune violence envers autrui, sont liés à sa toxicomanie et qu'il fait de gros efforts pour s'en sortir même si ses précédentes tentatives se sont soldées par un échec, ce qui rend le pronostic d'avenir incertain, même si l'intéressé est très motivé par la perspective de devenir père. Sa sortie apparaît bien préparée, puisqu'il bénéficie des soutiens nécessaires tant sur les plans professionnel et social que médical et affectif. A l'instar du Ministère public, la Chambre de céans considère que les chances de</w:t>
      </w:r>
    </w:p>
    <w:p>
      <w:r>
        <w:t>- 8/10 - PM/206/2014 réinsertion de l'appelant sont bien meilleures avec une cautèle consistant à prévoir une assistance de probation, mesure à laquelle il se soumet, ayant déjà pris des contacts avec le SPI en vue d'une éventuelle libération conditionnelle, et qui lui permettra de recevoir une aide utile dans la réalisation de ses objectifs, à l'instar de la poursuite de son suivi thérapeutique et de sa soumission à des mesures destinées à prouver son abstinence. Ainsi, il convient de lui accorder la libération conditionnelle avec effet au _____2014, assortie d'une assistance de probation durant le temps du délai d'épreuve (art. 87 al. 1 et 2 CP) et des règles de conduite proposées initialement par le SAPEM. Il convient cependant d'attirer l'attention de l'appelant sur le fait que s'il devait, durant le délai d'épreuve, commettre un nouveau crime ou un délit, se soustraire à l’assistance de probation ou violer les règles de conduite, sa réincarcération pour le solde de sa peine pourra être ordonnée, nonobstant une nouvelle peine ou mesure (art. 89 al. 1 et 3 CP.</w:t>
      </w:r>
    </w:p>
    <w:p>
      <w:r>
        <w:rPr>
          <w:b/>
        </w:rPr>
        <w:t>E. 3</w:t>
      </w:r>
    </w:p>
    <w:p>
      <w:r>
        <w:t>Vu l'issue de l'appel, les frais de la procédure seront laissés à la charge de l'Etat (art. 428 CPP a contrario par analogie). * * * * *</w:t>
      </w:r>
    </w:p>
    <w:p>
      <w:r>
        <w:t>- 9/10 - PM/206/2014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