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AARP/152/2020 vom 20. April 2020</w:t>
      </w:r>
    </w:p>
    <w:p>
      <w:r>
        <w:t>GE Cour de justice, 2020-04-20, FR</w:t>
      </w:r>
    </w:p>
    <w:p>
      <w:r>
        <w:rPr>
          <w:b/>
        </w:rPr>
        <w:t xml:space="preserve">Quelle: </w:t>
      </w:r>
      <w:r>
        <w:t>https://mcp.opencaselaw.ch/entscheid/ge_gerichte_AARP_152_2020</w:t>
      </w:r>
    </w:p>
    <w:p>
      <w:r>
        <w:t>FR: GE_GERICHTE AARP/152/2020 du 20 avril 2020</w:t>
      </w:r>
    </w:p>
    <w:p>
      <w:r>
        <w:t>IT: GE_GERICHTE AARP/152/2020 del 20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L'infraction de vol (art. 139 ch. 1 CP) prévoit une peine privative de liberté de cinq ans au plus ou une peine pécuniaire, alors que celles à l'art. 19 al. 1 let. c LStup et de séjour illégal (art. 115 al. 1 let. b LEI) prévoient une peine privative de liberté de trois ans au plus ou une peine pécuniaire, respectivement une peine privative de liberté d'un au plus ou une peine pécuniaire.</w:t>
      </w:r>
    </w:p>
    <w:p>
      <w:r>
        <w:rPr>
          <w:b/>
        </w:rPr>
        <w:t>E. 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2.1.2</w:t>
      </w:r>
    </w:p>
    <w:p>
      <w:r>
        <w:t>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4e éd., Bâle 2019, n. 130 s. ad art. 47 CP). En général, la culpabilité de l'auteur est amplifiée du fait qu'il n'a pas tenu compte de l'avertissement constitué par la précédente condamnation, et sa rechute témoigne</w:t>
      </w:r>
    </w:p>
    <w:p>
      <w:r>
        <w:t>- 8/18 - P/10602/2019 d'une énergie criminelle accrue (R. ROTH / L. MOREILLON [éds], Code pénal I : art. 1-100 CP, Bâle 2009, n. 55 ad art. 47 CP).</w:t>
      </w:r>
    </w:p>
    <w:p>
      <w:r>
        <w:rPr>
          <w:b/>
        </w:rPr>
        <w:t>E. 2.1.3</w:t>
      </w:r>
    </w:p>
    <w:p>
      <w:r>
        <w:t>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 p. 104).</w:t>
      </w:r>
    </w:p>
    <w:p>
      <w:r>
        <w:rPr>
          <w:b/>
        </w:rPr>
        <w:t>E. 2.1.4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144 IV 217</w:t>
      </w:r>
    </w:p>
    <w:p>
      <w:r>
        <w:t>- 9/18 - P/10602/2019 consid. 3.5 ; 127 IV 101 consid. 2b p. 104 ; arrêts du Tribunal fédéral 6B_1216/2017 du 11 juin 2018 consid. 1.1.1 ; 6B_1175/2017 du 11 avril 2018 consid. 2.1 in medio). Cette disposition ne prévoit aucune exception. Le prononcé d'une peine unique dans le sens d'un examen global de tous les délits à juger n'est pas possible (ATF 144 IV 217 consid. 3.5.4 ; 144 IV 313 consid. 1.1.2).</w:t>
      </w:r>
    </w:p>
    <w:p>
      <w:r>
        <w:rPr>
          <w:b/>
        </w:rPr>
        <w:t>E. 2.1.5</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du Tribunal fédéral 6B_1141/2017 du 7 juin 2018 consid. 4.1). Dans ce contexte, le juge doit procéder selon les principes de l'art. 49 al. 1 CP (ATF 142 IV 265 consid. 2.3.3 p. 268; 138 IV 120 consid. 5.2 p. 122 s.). La peine complémentaire est constituée de la différence entre cette peine d'ensemble et la peine de base, à savoir celle prononcée précédemment (ATF 141 IV 61 consid. 6.1.2 p. 67; 6B_1141/2017 précité consid. 4.1). 2.2.1. En l'espèce, la faute de l'appelant est importante, dans la mesure où il n'a pas hésité à dérober le même jour plusieurs paires de lunettes de soleil ainsi qu'une paire de chaussures, soit des biens qui ne sont pas de première nécessité, dans deux commerces distincts. Il s'est par ailleurs adonné, sur la voie publique, à la vente de stupéfiants. Enfin, il a persisté à séjourner en Suisse illégalement depuis 2018,</w:t>
      </w:r>
    </w:p>
    <w:p>
      <w:r>
        <w:t>- 10/18 - P/10602/2019 malgré une précédente condamnation, ce qui dénote une intensité délictuelle importante. Il a agi par appât d'un gain facile et par convenance personnelle au mépris des lois en vigueur. Sa collaboration ne peut être qualifiée de bonne. Il a certes, après avoir nié et fourni des explications plus que douteuses, reconnu les faits qui lui étaient reprochés, mais pouvait difficilement les contester compte tenu des circonstances de son interpellation du 26 mars 2019 et des images de vidéosurveillance provenant du magasin D______. Sa prise de conscience est inexistante, dès lors qu'il persiste dans ses comportements illégaux, pire, qu'il s'attaque désormais au patrimoine d'autrui et à la santé publique, ce en dépit de sa condamnation pour violations de la LEI à une peine pécuniaire. L'appelant ne pourra vraisemblablement pas s'acquitter d'une peine pécuniaire, étant dépourvu de revenu. Il n'a fourni aucune pièce attestant de la réalité de l'aide financière dont il se prévaut, étant précisé qu'au regard du but de la prévention spéciale, c'est au prévenu de supporter la sanction pénale, non pas à ses proches. Au vu de l'ensemble de ces éléments, une peine pécuniaire n'est pas adaptée. En effet, seule une peine privative de liberté paraît de nature à remplir son rôle de prévention spéciale. L'appel du prévenu est par conséquent rejeté sur ce point. 2.2.2. Compte tenu de la condamnation à une peine privative de liberté de trois mois du 21 février 2020, la CPAR doit fixer une peine complémentaire, et donc déterminer la sanction adéquate pour punir les infractions objets de la présente procédure ainsi que le séjour illégal (période du 26 septembre, soit le lendemain de l'audience de jugement, au 9 décembre 2019) et le non-respect d'une interdiction de pénétrer dans une région déterminée intervenu le 9 décembre 2019. Il y a concours d'infractions, ce qui commande une augmentation de la peine dans une juste proportion et exclut l'application de la Directive sur le retour (arrêt du Tribunal fédéral 6B_320/2013 du 29 août 2013 consid. 3.2). Le vol, considéré comme l'infraction la plus grave, justifie à lui seul le prononcé d'une peine privative de liberté de 60 jours, qui doit être aggravée de 30 jours pour la vente de stupéfiants (peine hypothétique de 40 jours) et de 30 jours pour le séjour illégal (peine hypothétique de 40 jours). Si les faits concernés par la présente procédure avaient été jugés en même temps que ceux du 21 février 2020, une peine privative de liberté globale de six mois aurait été la sanction adéquate, entraînant en l'espèce le prononcé d'une peine complémentaire de trois mois.</w:t>
      </w:r>
    </w:p>
    <w:p>
      <w:r>
        <w:t>- 11/18 - P/10602/2019 Le dispositif du jugement attaqué sera donc réformé uniquement en tant que la peine prononcée doit être déclarée complémentaire à celle du 21 février 2020. 2.2.3. Le bénéfice du sursis, tout comme la renonciation à la révocation du sursis assortissant la peine pécuniaire prononcée le 11 janvier 2019, sont acquis à l'appelant (art. 391 al. 2 CPP) et le délai d'épreuve a valablement été prolongé d'un an (art. 46 al. 2 CP), compte tenu de son antécédent spécifique et du risque concret de récidive. Concernant l'amende sanctionnant la contravention à la LStup, non contestée par l'appelant, le montant de CHF 100.- fixé par le premier juge consacre une application correcte de la loi et sera confirmé. En effet, dans la situation qui est celle du prévenu, cette sanction apparaît à la fois dissuasive et adaptée à sa situation personnelle.</w:t>
      </w:r>
    </w:p>
    <w:p>
      <w:r>
        <w:rPr>
          <w:b/>
        </w:rPr>
        <w:t>E. 3.1</w:t>
      </w:r>
    </w:p>
    <w:p>
      <w:r>
        <w:t>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w:t>
      </w:r>
    </w:p>
    <w:p>
      <w:r>
        <w:t>- 12/18 - P/10602/2019 Concernant le premier volet, le juge doit se demander, si l'expulsion facultative est de nature à empêcher la commission de nouvelles infractions en Suisse (G. FIOLKA / L. VETTERLI, op. cit., p. 84 ; AARP/179/2017 du 30 mai 2017 consid. 3.1.2). A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w:t>
      </w:r>
    </w:p>
    <w:p>
      <w:r>
        <w:rPr>
          <w:b/>
        </w:rPr>
        <w:t>E. 3.2</w:t>
      </w:r>
    </w:p>
    <w:p>
      <w:r>
        <w:t>En l'espèce, l'appelant, qui n'est en Suisse que depuis 2018, y compte déjà trois condamnations, ce qui illustre l'intérêt public à son éloignement du pays. Il ne démontre aucune source de revenu légal en Suisse, pays où il fait déjà l'objet d'une décision d'interdiction d'entrée. Il ne peut faire état d'aucune intégration, se trouve sans domicile fixe et n'a pas de famille ou amis proches qui résideraient sur le territoire helvétique. Il ne présente ainsi aucun intérêt personnel prépondérant à opposer à son expulsion, n'alléguant pas se trouver en mauvaise santé. Au surplus, sa nouvelle condamnation du 21 février 2020 démontre que le prononcé d'une peine assortie du sursis n'est pas à même de le détourner de la commission de nouvelles infractions. Ainsi, son expulsion de Suisse pour une durée de cinq ans, qui s'avère proportionnée dans le cas d'espèce, compte tenu de l'ancrage de l'appelant dans la délinquance, sera confirmée.</w:t>
      </w:r>
    </w:p>
    <w:p>
      <w:r>
        <w:rPr>
          <w:b/>
        </w:rPr>
        <w:t>E. 4</w:t>
      </w:r>
    </w:p>
    <w:p>
      <w:r>
        <w:t>La procédure n'a pas permis d'établir l'origine délictueuse de la veste G______, si bien qu'elle doit être restituée à l'appelant (art. 267 al. 1 CPP).</w:t>
      </w:r>
    </w:p>
    <w:p>
      <w:r>
        <w:rPr>
          <w:b/>
        </w:rPr>
        <w:t>E. 5</w:t>
      </w:r>
    </w:p>
    <w:p>
      <w:r>
        <w:t>5.1.1. Selon l’art. 426 al. 1 CPP, le prévenu supporte les frais de la procédure s’il est condamné. Il doit ainsi rembourser à l’Etat les frais que ce dernier a avancés dans le cadre de la procédure (cf. A. KUHN / Y JEANNERET [éd.], Commentaire romand : Code de procédure pénale suisse, Bâle 2011, n. 1 ad art. 426 CPP), ces frais étant établis conformément au Règlement fixant le tarif des frais en matière pénale du 22 décembre 2010 (RTFMP - E 4 10.03). Aux termes de l’art. 418 al. 1 CPP, lorsque plusieurs personnes sont astreintes au paiement des frais, notamment en application de l’art. 426 CPP, ceux-ci sont répartis</w:t>
      </w:r>
    </w:p>
    <w:p>
      <w:r>
        <w:t>- 13/18 - P/10602/2019 proportionnellement entre elles. Tel est le cas des frais n’ayant pas été causés par une seule mais par plusieurs personnes participant à la procédure et qui les concernent toutes (A. KUHN / Y JEANNERET [éd.], op. cit., n. 1 ad art. 418 CPP). Lorsque les frais liés à une affaire sont élevés ou paraissent disproportionnés, il peut être décidé de les réduire pour des motifs d’équité liés à la procédure, lorsqu’un chef d’accusation important n’a pas été retenu contre le condamné ou lorsque la procédure a été prolongée ou compliquée sans son fait, ou encore lorsqu'une mesure coûteuse ordonnée dans l’enquête s’avère avoir été superflue. Un large pouvoir d’appréciation doit être laissé dans ces cas à l’autorité de jugement (AARP/318/2012 du 16 octobre 2012 consid. 3.1). 5.1.2.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5.2.1. L'appelant se plaint d'avoir été condamné à la moitié des frais de la procédure préliminaire et de première instance, arguant que certaines des faits reprochés à l'origine desdits frais ne concernaient que H______, son co-auteur pour le vol. Or, l'appelant perd de vue qu'il a lui-même été condamné pour vente et consommation de stupéfiants ainsi que pour séjour illégal, faits au regard desquels le précité n'était pas impliqué. Son raisonnement tombe ainsi à faux et c'est à juste titre que le premier juge a mis la moitié des frais de la procédure à charge de chacun des deux prévenus. 5.2.2. Devant la Chambre de céans, l’appelant obtient très partiellement gain de cause s'agissant de la restitution de la veste, de sorte qu’il supportera les 4/5èmes des frais de la procédure d’appel envers l’Etat (art. 428 CPP).</w:t>
      </w:r>
    </w:p>
    <w:p>
      <w:r>
        <w:rPr>
          <w:b/>
        </w:rPr>
        <w:t>E. 6</w:t>
      </w:r>
    </w:p>
    <w:p>
      <w:r>
        <w:t>6.1.1. Selon l'art. 135 al. 1 CPP, le défenseur d'office ou le conseil juridique gratuit (cf. art. 138 al. 1 CPP) est indemnisé conformément au tarif des avocats du canton du for du procès. L'art. 16 let. c du règlement sur l'assistance juridique du 28 juillet 2010 (RAJ ; E 2 05.04) dispose que l'indemnité, en matière pénale, est calculée selon le tarif horaire de CHF 200.- pour le chef d'étude.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w:t>
      </w:r>
    </w:p>
    <w:p>
      <w:r>
        <w:t>- 14/18 - P/10602/2019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6.1.2. En principe, la consultation du dossier est indemnisée, sous réserve du caractère excessivement long ou répétitif de cette activité, en particulier si le dossier n'a pas ou peu évolué pendant la procédure d'appel (AARP/181/2016 du 9 mai 2016 consid. 6.3 et 6.4 ; AARP/149/2016 du 20 avril 2016 consid. 5.4).</w:t>
      </w:r>
    </w:p>
    <w:p>
      <w:r>
        <w:rPr>
          <w:b/>
        </w:rPr>
        <w:t>E. 6.2</w:t>
      </w:r>
    </w:p>
    <w:p>
      <w:r>
        <w:t>En l’occurrence, l’état de frais produit par le conseil de l’appelant paraît adéquat et conforme aux dispositions et principes qui précèdent, de sorte qu’il sera admis sans en reprendre le détail.</w:t>
      </w:r>
    </w:p>
    <w:p>
      <w:r>
        <w:t>En conclusion, l'indemnité sera arrêtée à CHF 1'852.40 correspondant à 7h10 d'activité, y compris 30 minutes de consultation du dossier, en lieu et place des CHF 100.- de vacation réclamés pour ladite consultation, plus la majoration au tarif de CHF 200.-/heure [CHF 1'433.30], forfaitaire de 20% [CHF 286.70] et l'équivalent de la TVA au taux de 7.7% [CHF 132.40]. * * * * *</w:t>
      </w:r>
    </w:p>
    <w:p>
      <w:r>
        <w:t>- 15/18 - P/10602/2019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