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AARP/152/2018 vom 19. Mai 2018</w:t>
      </w:r>
    </w:p>
    <w:p>
      <w:r>
        <w:t>GE Cour de justice, 2018-05-19, FR</w:t>
      </w:r>
    </w:p>
    <w:p>
      <w:r>
        <w:rPr>
          <w:b/>
        </w:rPr>
        <w:t xml:space="preserve">Quelle: </w:t>
      </w:r>
      <w:r>
        <w:t>https://mcp.opencaselaw.ch/entscheid/ge_gerichte_AARP_152_2018</w:t>
      </w:r>
    </w:p>
    <w:p>
      <w:r>
        <w:t>FR: GE_GERICHTE AARP/152/2018 du 19 mai 2018</w:t>
      </w:r>
    </w:p>
    <w:p>
      <w:r>
        <w:t>IT: GE_GERICHTE AARP/152/2018 del 19 maggio 2018</w:t>
      </w:r>
    </w:p>
    <w:p>
      <w:pPr>
        <w:pStyle w:val="Heading2"/>
      </w:pPr>
      <w:r>
        <w:t>Erwägungen</w:t>
      </w:r>
    </w:p>
    <w:p>
      <w:r>
        <w:rPr>
          <w:b/>
        </w:rPr>
        <w:t>E. 1.1</w:t>
      </w:r>
    </w:p>
    <w:p>
      <w:r>
        <w:t>Le principe juridique de l'autorité d'un arrêt de renvoi du Tribunal fédéral, précédemment expressément consacré par les art. 66 al. 1 de l'ancienne loi fédérale d'organisation judiciaire du 16 décembre 1943 (aOJ) et 277ter al. 2 de l'ancienne loi fédérale sur la procédure pénale du 15 juin 1934 (aPPF), demeure applicable sous la loi fédérale sur le Tribunal fédéral du 17 juin 2005 (LTF - RS 173.110 ; ATF 135 III 334 consid. 2.1 p. 335 ; arrêt du Tribunal fédéral 6B_1276/2015 du 29 juin 2016 consid. 1.2.1). Aussi, un arrêt de renvoi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 nouvel 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Ce principe connaît toutefois une exception pour des points qui n'ont pas été attaqués ou ne l'ont pas été valablement, mais qui sont intimement liés à ceux sur lesquels le recours a été admis. Ainsi, dans la fixation de la peine, l'autorité cantonale, à laquelle le Tribunal fédéral a renvoyé la cause pour qu'il soit statué à nouveau, est libre d'apprécier autrement que dans le premier jugement si une circonstance atténuante peut être retenue. En effet, elle doit infliger la peine qui, au vu de l'ensemble des circonstances, lui paraît appropriée (ATF 113 IV 47 et arrêt du Tribunal fédéral 6B_1276/2015 du 29 juin 2016 consid. 1.2.1). 1.2.1. Ainsi que le fait valoir l'appelant, la conclusion de l'intimée tendant à ce qu'il soit procédé à une nouvelle expertise aux fins de déterminer à quelle vitesse il aurait dû rouler pour éviter la collusion se heurte d'une part au fait que l'expertise au dossier règle déjà la question – il s'agit d'une vitesse de l'ordre de 3 à 5 km/h –, d'autre part, au fait que le TF a jugé que, à supposer que l'appelant eût pu – c'est cela qui est "douteux" selon le TF – rouler à une telle vitesse avec son véhicule, il n'avait de toute façon pas à le faire, dans la mesure où il ne devait pas compter avec la</w:t>
      </w:r>
    </w:p>
    <w:p>
      <w:r>
        <w:t>- 8/11 - P/9563/2013 possibilité de la présence d'un cycliste surgissant sur sa droite, l'intimée ayant passé le feu au rouge. La mesure probatoire requise doit donc être écartée, parce qu'inutile, au regard du principe de l'autorité de l'arrêt de renvoi qui n'autorise pas la CPAR à se demander si l'appelant devait prendre davantage de précautions. 2.1. Ainsi que rappelé par le TF dans l'arrêt de renvoi (consid. 2.2), l'art. 125 CP réprime le comportement de celui qui, par négligence, aura fait subir à une personne une atteinte à l'intégrité corporelle ou à la santé.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135 IV 56 consid. 2.1 p. 64). En second lieu, la violation du devoir de prudence doit être fautive, c'est-à-dire qu'il faut pouvoir reprocher à l'auteur une inattention ou un manque d'effort blâmable (ATF 135 IV 56 consid. 2.1 p. 64; 134 IV 255 consid. 4.2.3 p. 262 et les références citées).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p. 61). La causalité adéquate sera admise même si le comportement de l'auteur n'est pas la cause directe ou unique du résultat. Peu importe que le résultat soit dû à d'autres causes, notamment à l'état de la victime, à son</w:t>
      </w:r>
    </w:p>
    <w:p>
      <w:r>
        <w:t>- 9/11 - P/9563/2013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2.1.1. En l'occurrence, le TF a estimé qu'il ne pouvait être établi que l'appelant avait adopté un comportement susceptible d'être qualifié d'une inattention fautive. 2.1.2. Certes, l'intimée soutient que le TF n'aurait pas réalisé que la piste cyclable et le passage piéton étaient adjacents, parce que cela ne ressortait selon elle pas clairement de l'arrêt cantonal ; en prolongement, elle estime que ce n'est que dans l'hypothèse où la piste cyclable et ledit passage piéton avaient été plus éloignés que sa présence aurait été de nature à surprendre le chauffeur du camion. On ne voit tout d'abord pas ce qui permet de soutenir que le TF se serait forgé une image de la configuration des lieux différente de la réalité, d'autant moins en l'occurrence que la situation, à supposer qu'il y aurait une ambiguïté sur ce point dans le précédent arrêt, est clairement documentée par le dossier. Cela dit, il n'appartiendrait en tout état pas à l'autorité cantonale de corriger une fausse – ou prétendue telle – représentation du TF. L'argument tombe de toute façon à faux dès lors que ledit arrêt de renvoi retient que la présence de la cycliste était inattendue non pas en raison de la position de la piste cyclable par rapport au passage piéton mais parce que dans le doute, il fallait admettre, s'agissant de la thèse la plus favorable à la défense, que celle-là avait brûlé le feu rouge. Ce second argument de l'intimée se heurte donc aussi à l'autorité de l'arrêt de renvoi. 2.2. En conclusion, l'appel doit être admis, le jugement de première instance annulé et l'appelant acquitté du chef de lésions corporelles graves par négligence.</w:t>
      </w:r>
    </w:p>
    <w:p>
      <w:r>
        <w:rPr>
          <w:b/>
        </w:rPr>
        <w:t>E. 3.1</w:t>
      </w:r>
    </w:p>
    <w:p>
      <w:r>
        <w:t>Vu l'issue de la procédure, les frais de la procédure de première instance doivent être supportés par l'Etat (art. 426 al. 1 a contrario). Ceux d'appels pourraient être mis à charge de l'intimée (art. 428 al. 1 CPP), toutefois, vu les circonstances, ils seront exceptionnellement également laissés à celle de l'Etat.</w:t>
      </w:r>
    </w:p>
    <w:p>
      <w:r>
        <w:t>- 10/11 - P/9563/2013</w:t>
      </w:r>
    </w:p>
    <w:p>
      <w:r>
        <w:t>3.2.1. L'appelant peut également prétendre à la couverture des frais nécessaires à sa défense, dont le sort suit en principe celui des frais de procédure (ATF 137 IV 352 consid. 2.4.2 p. 357 ; arrêts du Tribunal fédéral 6B_385/2017 du 5 décembre 2017 consid. 2.1 ; 6B_620/2016 du 17 mai 2017 consid. 2.2.2 et les références ; 6B_792/2016 du 18 avril 2017 consid. 3.3).</w:t>
      </w:r>
    </w:p>
    <w:p>
      <w:r>
        <w:t>3.2.2. Les relevés produits par le défenseur privé de l'appelant font état d'une activité en adéquation avec la nature et la difficulté de l'affaire ; le taux horaire est conforme à la pratique genevoise. Le MP n'a formulé aucune critique relative au montant des conclusions en indemnisation de l'appelant. Celles-ci seront partant admises dans leur intégralité.</w:t>
      </w:r>
    </w:p>
    <w:p>
      <w:r>
        <w:rPr>
          <w:b/>
        </w:rPr>
        <w:t>E. 3.3</w:t>
      </w:r>
    </w:p>
    <w:p>
      <w:r>
        <w:t>L'appelant doit également être indemnisé pour les deux jours de détention subis à tort, conformément à l'art. 429 al. 1 let. c CPP, quand bien même il n'a pas pris de conclusions à cet égard (art. 429 al. 2 CPP). Un montant de CHF 400.- lui sera alloué à ce titre, conformément à la jurisprudence constante.</w:t>
      </w:r>
    </w:p>
    <w:p>
      <w:r>
        <w:t>* * * * *</w:t>
      </w:r>
    </w:p>
    <w:p>
      <w:r>
        <w:t>- 11/11 - P/9563/2013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