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AARP/151/2017 vom 2. Mai 2017</w:t>
      </w:r>
    </w:p>
    <w:p>
      <w:r>
        <w:t>GE Cour de justice, 2017-05-02, FR</w:t>
      </w:r>
    </w:p>
    <w:p>
      <w:r>
        <w:rPr>
          <w:b/>
        </w:rPr>
        <w:t xml:space="preserve">Quelle: </w:t>
      </w:r>
      <w:r>
        <w:t>https://mcp.opencaselaw.ch/entscheid/ge_gerichte_AARP_151_2017</w:t>
      </w:r>
    </w:p>
    <w:p>
      <w:r>
        <w:t>FR: GE_GERICHTE AARP/151/2017 du 2 mai 2017</w:t>
      </w:r>
    </w:p>
    <w:p>
      <w:r>
        <w:t>IT: GE_GERICHTE AARP/151/2017 del 2 maggio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- 8/14 - P/14162/2011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principe in dubio pro reo s'applique tant aux éléments constitutifs objectifs qu'aux éléments constitutifs subjectifs d'une infraction lorsque des doutes irréductibles subsistent quant à leur réalisation (arrêt du Tribunal fédéral 6B_774/2014 du 22 mai 2015 consid. 3.3.). 2.1.2.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w:t>
      </w:r>
    </w:p>
    <w:p>
      <w:r>
        <w:t>- 9/14 - P/14162/2011 déterminé la victime à des actes préjudiciables à ses intérêts pécuniaires ou à ceux d'un tiers (art. 146 CP). Les éléments objectifs de l'escroquerie sont donc la tromperie, le caractère astucieux de celle-ci, l'existence d'une erreur chez la dupe, l'acte de disposition et le dommage. 2.1.3. Pour qu’il y ait escroquerie, il ne suffit pas qu’il y ait tromperie, il faut encore que celle-ci soit astucieuse. L'élément constitutif de l'astuce est réalisé lorsque l'auteur, pour tromper autrui,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arrêts du Tribunal fédéral 6B_564/2009 et 6B_566/2009 du 13 novembre 2009 consid. 3).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consid. 3.a).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consid. 3a p. 127). Finalement, la prise en considération de l'éventuelle responsabilité de la dupe connaît certaines limites. D'une part, elle ne doit pas avoir épuisé toutes les mesures de contrôles possibles et imaginables qui se trouvaient à sa portée (ATF 128 IV 18 consid. 3a p. 20) et, d'autre part, n'importe quelle négligence de sa part ne suffit pas à exclure l'astuce (ATF 126 IV 165 consid. 2a p. 172). Il n'est donc pas nécessaire que la dupe soit exempte de la moindre faute (CORBOZ, Les infractions en droit suisse, vol. I, 3ème éd., 2010, n. 17 ad art. 146 CP). 2.1.4. Ce qu'on appelle communément escroquerie au procès est compris sans autre dans la définition générale de l'escroquerie ; se rend coupable d'une telle escroquerie celui qui, par une tromperie astucieuse, amène le tribunal à trancher en défaveur de la partie adverse (ATF 122 IV 197 consid. 2). Une simple indication fausse, dont la partie adverse peut contrôler l'inexactitude sans grande peine, n'est pas à elle seule astucieuse ; le procédé auquel l'auteur a recours doit apparaître comme une</w:t>
      </w:r>
    </w:p>
    <w:p>
      <w:r>
        <w:t>- 10/14 - P/14162/2011 machination (ATF précité consid. 3. d). Taire un fait revient, bien souvent, à faire croire qu'il n'existe pas. La question est délicate de savoir s'il suffit, pour qu'il y ait tromperie, que l'auteur, sans faire aucune déclaration en relation avec le sujet, ne révèle pas spontanément la vérité. Que l'on admette que la tromperie peut résulter d'une omission ou que l'on veuille y voir une forme de commission, un devoir de parler découlant de la loi, du contrat ou de la bonne foi - ce dernier cas se rapprochant de la notion de position de garant - est en tous cas nécessaire (…). Le droit de se taire - à distinguer de l'obligation de ne pas mentir si l'on parle - doit ainsi être reconnu à un plaideur (cf. arrêt du Tribunal fédéral 5C.124/2006 du 21 novembre 2006 consid. C.b). En cas d'escroquerie au procès, le lésé est donc la partie dont le patrimoine est atteint et non la justice (arrêt du Tribunal fédéral 6B_525/2012 du 5 novembre 2012 consid. 3.3), l'escroquerie, sanctionnée par l'art. 146 CP, étant classée dans les infractions contre le patrimoine (art. 137 à 172ter CP) et non dans celles visant à protéger l'administration de la justice (art. 303 à 311 CP), comme par exemple la fausse déclaration d'une partie en justice (art. 306 CP). Le seul bien juridique protégé par l'art. 146 CP est le patrimoine (ATF 122 IV 197 consid. 2c p. 203 et les références citées). 2.1.5.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6B_496/2015 du 6 avril 2016 consid. 2.2.3.). 2.1.6.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Le dol éventuel suffit (CORBOZ, op. cit. n. 39 ad 146). L'auteur doit, en outre, agir dans le dessein de se procurer ou de procurer à un tiers un enrichissement illégitime, soit un avantage patrimonial correspondant au désavantage patrimonial constituant le dommage (ATF 134 IV 210 consid. 5.3 p. 213 s.). 2.2.1. En l'espèce, il apparaît que la CPR, dans son arrêt du 22 août 2013, est partie d'une prémisse erronée pour conclure à la vraisemblance du caractère astucieux d'une tromperie en relevant que C______ avait volontairement induit un accord conclu avec la seule X______ SA, qu'il savait au bord de la faillite, et non Y______ SA pour protéger les intérêts de cette dernière, voire les siens propres. En effet, il est établi qu'il n'était pas en mesure de représenter Y______ SA à l'audience de conciliation du 10 janvier 2012. Cette circonstance a d'emblée été mentionnée au procès-verbal d'audience s'agissant de la présence des parties. Ainsi, il ne peut découler aucune tromperie astucieuse pour les parties plaignantes du fait de n'avoir conclu un accord qu'avec X______ SA.</w:t>
      </w:r>
    </w:p>
    <w:p>
      <w:r>
        <w:t>- 11/14 - P/14162/2011 2.2.2. En outre, la condition objective de l'acte préjudiciable aux intérêts du lésé n'apparaît pas réalisée dans les circonstances de l'espèce. En effet, l'accord conclu a certes porté sur la reconnaissance d'une créance par X______ SA. Cependant, la jurisprudence précise qu'il est nécessaire que l'acte préjudiciable porte sur des intérêts pécuniaires sur lesquels la partie lésée a un certain pouvoir de disposition. Or, dans le cas d'espèce, l'on ne voit pas sur quels intérêts pécuniaires les époux A______ et B______ avaient, préalablement à la ratification de l'accord, un tel pouvoir de disposition. En effet, même si, dans le cadre de leur demande en paiement, leurs prétentions ascendaient à CHF 20'182.-, ces dernières n'étaient aucunement établies de façon certaine, ni exigibles. 2.2.3. Enfin, il apparaît très douteux que l'élément subjectif de l'infraction soit réalisé. En effet, il ressort de la procédure que C______ a cherché à plusieurs reprises à exécuter l'accord conclu, tant en avril qu'en mai 2012. Certes, à chaque fois, les demandes des époux A______ et B______ n'ont pas été satisfaites. Mais la procédure pénale n'établit pas qu'il s'agissait d'une tactique préexistante de refus de s'exécuter. En témoigne, notamment, le fait qu'à l'insu des époux A______ et B______, la demande de billet pour le transport de Genève à Vienne a été renouvelée à plusieurs reprises, selon les informations données par Z______ à ces derniers, ce qui ne traduit pas une intention dolosive de l'intimé au moment de la conclusion de la transaction. En outre, comme l'a relevé le Tribunal de police, le fait que l'accord conclu avec les époux D______, exactement dans les mêmes circonstances, a pu être, à tout le moins partiellement honoré, accrédite la version des faits de l'intimé selon laquelle il pensait de bonne foi, au moment de la conclusion de la transaction, qu'il serait en mesure d'y satisfaire, même si cela se faisait avec les fonds de Y______ SA. Certes, C______ n'a pas informé les appelants de la situation de X______ SA le 10 janvier 2012, mais il n'apparaît pas exclu qu'il a pu penser éviter en dernière minute la faillite de celle-ci. Si l'annonce de la situation réelle de la société aurait vraisemblablement conduit à l'absence d'accord, l'on ignore ce qui en serait résulté d'un point de vue procédural et les conséquences d'une procédure civile menée contre Y______ SA jusqu'à son terme, étant relevé que les époux A______ et B______ apparaissent comme les appelants du jugement rendu par le Tribunal de première instance le 17 juin 2014 dans la cause les opposant à cette société. De surcroît, en référence à la motivation de la CPR dans son arrêt du 22 août 2013, la question d'un engagement personnel de l'intimé ne paraît aucunement se poser en rapport au litige civil opposant les appelants à X______ SA et Y______ SA. Ainsi, du point de vue de l'élément subjectif de la réalisation de l'escroquerie, des doutes très importants subsistent quant à une intention dolosive de l'intimé, la version des faits lui étant la plus favorable devant dès lors être retenue.</w:t>
      </w:r>
    </w:p>
    <w:p>
      <w:r>
        <w:t>- 12/14 - P/14162/2011 Pour les différents motifs qui précèdent, il y a lieu de conclure au rejet de l'appel.</w:t>
      </w:r>
    </w:p>
    <w:p>
      <w:r>
        <w:rPr>
          <w:b/>
        </w:rPr>
        <w:t>E. 3</w:t>
      </w:r>
    </w:p>
    <w:p>
      <w:r>
        <w:t>Les appelants, qui succombent, supporteront les frais de la procédure envers l'Etat (art. 428 CPP). * * * * *</w:t>
      </w:r>
    </w:p>
    <w:p>
      <w:r>
        <w:t>- 13/14 - P/14162/2011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