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AARP/14/2019 vom 17. Januar 2019</w:t>
      </w:r>
    </w:p>
    <w:p>
      <w:r>
        <w:t>GE Cour de justice, 2019-01-17, FR</w:t>
      </w:r>
    </w:p>
    <w:p>
      <w:r>
        <w:rPr>
          <w:b/>
        </w:rPr>
        <w:t xml:space="preserve">Quelle: </w:t>
      </w:r>
      <w:r>
        <w:t>https://mcp.opencaselaw.ch/entscheid/ge_gerichte_AARP_14_2019</w:t>
      </w:r>
    </w:p>
    <w:p>
      <w:r>
        <w:t>FR: GE_GERICHTE AARP/14/2019 du 17 janvier 2019</w:t>
      </w:r>
    </w:p>
    <w:p>
      <w:r>
        <w:t>IT: GE_GERICHTE AARP/14/2019 del 17 gennaio 2019</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w:t>
      </w:r>
    </w:p>
    <w:p>
      <w:r>
        <w:rPr>
          <w:b/>
        </w:rPr>
        <w:t>E. 1.2</w:t>
      </w:r>
    </w:p>
    <w:p>
      <w:r>
        <w:t>En l’espèce, la cause a été renvoyée à la CPAR pour nouvel examen de la rémunération horaire de l'avocat stagiaire. L'octroi d'un intérêt moratoire n'a pas été sollicité dans le recours du 17 juin 2016, n'a pas fait l'objet de la procédure de recours devant le Tribunal fédéral et n'a été soulevé que dans l'écriture du recourant du 19 novembre 2018 ; il ne l'a en particulier été ni dans son recours, ni dans sa détermination du 30 octobre 2017. Cette conclusion nouvelle est ainsi irrecevable.</w:t>
      </w:r>
    </w:p>
    <w:p>
      <w:r>
        <w:rPr>
          <w:b/>
        </w:rPr>
        <w:t>E. 1.3</w:t>
      </w:r>
    </w:p>
    <w:p>
      <w:r>
        <w:t>Au surplus, eût-elle été recevable (notamment en application de l'art. 391 CPP), cette conclusion aurait en tout état de cause dû être rejetée. La CPAR a déjà examiné la question de savoir si l'indemnité due au défenseur d'office portait intérêt, et y a répondu par la négative, dans des décisions auxquelles le recourant était partie (AARP/409/2018 ; AARP/388/2018).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Selon l'art. 442 CPP, le recouvrement des frais de procédure découlant d'une procédure pénale est régi par les dispositions de la loi fédérale sur la poursuite pour dettes et la faillite du 11 avril 1889 (LP - RS 281.1) (al. 1). Les créances portant sur</w:t>
      </w:r>
    </w:p>
    <w:p>
      <w:r>
        <w:t>- 5/8 - P/7591/2014 les frais de procédure se prescrivent par dix ans à compter du jour où la décision sur les frais est entrée en force. L'intérêt moratoire est de 5% (al. 2). 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 question, Genève 2013, p. 131 ; A. KUHN / Y. JEANNERET [éds], Commentaire romand : Code de procédure pénale suisse, Bâle 2011, n. 10 ad art. 442). 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 A ce stade, il y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w:t>
      </w:r>
    </w:p>
    <w:p>
      <w:r>
        <w:rPr>
          <w:b/>
        </w:rPr>
        <w:t>E. 1.4</w:t>
      </w:r>
    </w:p>
    <w:p>
      <w:r>
        <w:t>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de la présente décision.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w:t>
      </w:r>
    </w:p>
    <w:p>
      <w:r>
        <w:rPr>
          <w:b/>
        </w:rPr>
        <w:t>E. 1.5</w:t>
      </w:r>
    </w:p>
    <w:p>
      <w:r>
        <w:t>A fortiori, puisqu'il ne s'agit pas de réparer un dommage, il ne saurait être question de responsabilité de l'Etat au sens de la LREC, qui vise à réparer les dommages causés par les actes illicites ou, si l’équité l’exige, par certains actes licites (art. 4 LREC). Les hypothèses visées par cette loi ne sont pas réalisées en l'espèce.</w:t>
      </w:r>
    </w:p>
    <w:p>
      <w:r>
        <w:t>- 6/8 - P/7591/2014</w:t>
      </w:r>
    </w:p>
    <w:p>
      <w:r>
        <w:rPr>
          <w:b/>
        </w:rPr>
        <w:t>E. 2</w:t>
      </w:r>
    </w:p>
    <w:p>
      <w:r>
        <w:t>Le nouveau tarif horaire prévu par le RAJ s'applique à tous les états de frais dont la taxation n'est pas définitive lors de son entrée en vigueur, le 1er octobre 2018 (art. 21A RAJ) Il convient partant de rectifier, dans cette mesure, le jugement dont est recours.</w:t>
      </w:r>
    </w:p>
    <w:p>
      <w:r>
        <w:rPr>
          <w:b/>
        </w:rPr>
        <w:t>E. 3.1</w:t>
      </w:r>
    </w:p>
    <w:p>
      <w:r>
        <w:t>En définitive, le recourant aurait dû se voir allouer le montant suivant : 13h10 à CHF 200.- CHF 2'633.35 12h35 à CHF 110.- CHF 1'384.15</w:t>
      </w:r>
    </w:p>
    <w:p>
      <w:r>
        <w:t>CHF 4'017.50 Forfait de 20% CHF 803.50</w:t>
      </w:r>
    </w:p>
    <w:p>
      <w:r>
        <w:t>CHF 4'821.- TVA (8%) CHF 385.70.- Total CHF 5'206.70</w:t>
      </w:r>
    </w:p>
    <w:p>
      <w:r>
        <w:rPr>
          <w:b/>
        </w:rPr>
        <w:t>E. 3.2</w:t>
      </w:r>
    </w:p>
    <w:p>
      <w:r>
        <w:t>; 6B_438/2013 du 18 juillet 2013 consid. 2.4). 4.1.2. En l'espèce, le recourant obtient pour l'essentiel gain de cause ; l'indemnité allouée par les premiers juges est majorée de CHF 733.90, alors que dans son recours il sollicitait une majoration de CHF 896.95. Il se justifie partant de ne pas mettre à sa charge les frais de la procédure de recours, composés exclusivement d'un émolument de CHF 1'000.- (art. 13 let. c du règlement fixant le tarif des frais en matière pénale du 22 décembre 2010 [RTFMP - E 4 10.03]). 4.2.1.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w:t>
      </w:r>
    </w:p>
    <w:p>
      <w:r>
        <w:t>- 7/8 - P/7591/2014 consid. 5.1). Cela étant, dans le cas d'un avocat obtenant partiellement gain de cause, il est approprié de s'inspirer de la règle selon laquelle le droit à une indemnité de procédure suit le même sort que les frais de la procédure. 4.2.2. En l'occurrence, eu égard au fait que les développements dans l'acte de recours consacrés à l'inconstitutionnalité du tarif AJ avaient déjà été articulés par ce même recourant dans d'autres affaires, et dans la mesure où le montant litigieux était particulièrement peu important puisque le litige portait sur moins de CHF 1'000.-, étant rappelé que les honoraires de l'avocat doivent aussi être adaptés à la valeur litigieuse, il parait raisonnable d'estimer le travail accompli dans le contexte du recours comme justifiant une indemnité de CHF 500.-.</w:t>
      </w:r>
    </w:p>
    <w:p>
      <w:r>
        <w:t>* * * * *</w:t>
      </w:r>
    </w:p>
    <w:p>
      <w:r>
        <w:t>- 8/8 - P/7591/2014</w:t>
      </w:r>
    </w:p>
    <w:p>
      <w:r>
        <w:rPr>
          <w:b/>
        </w:rPr>
        <w:t>E. 4</w:t>
      </w:r>
    </w:p>
    <w:p>
      <w:r>
        <w:t>4.1.1. Selon l'art. 428 al. 1, 1ère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Pour déterminer si une partie succombe ou obtient gain de cause, il faut examiner dans quelle mesure ses conclusions sont admises en deuxième instance (arrêts du Tribunal fédéral 6B_1025/2014 du 9 février 2015 consid. 2.4.1 ; 6B_1046/2013 du 14 mai 2014 consid. 3.3 ; 6B_586/2013 du 1er mai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