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AARP/149/2024 vom 24. April 2024</w:t>
      </w:r>
    </w:p>
    <w:p>
      <w:r>
        <w:t>GE Cour de justice, 2024-04-24, FR</w:t>
      </w:r>
    </w:p>
    <w:p>
      <w:r>
        <w:rPr>
          <w:b/>
        </w:rPr>
        <w:t xml:space="preserve">Quelle: </w:t>
      </w:r>
      <w:r>
        <w:t>https://mcp.opencaselaw.ch/entscheid/ge_gerichte_AARP_149_2024</w:t>
      </w:r>
    </w:p>
    <w:p>
      <w:r>
        <w:t>FR: GE_GERICHTE AARP/149/2024 du 24 avril 2024</w:t>
      </w:r>
    </w:p>
    <w:p>
      <w:r>
        <w:t>IT: GE_GERICHTE AARP/149/2024 del 24 aprile 2024</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L'infraction à l'art. 19 al. 1 let. c LStup est passible d'une peine privative de liberté de trois ans au plus ou d'une peine pécuniaire, tandis que le séjour illégal est puni d'une peine privative de liberté d'un an au plus ou d'une peine pécuniaire.</w:t>
      </w:r>
    </w:p>
    <w:p>
      <w:r>
        <w:t>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w:t>
      </w:r>
    </w:p>
    <w:p>
      <w:r>
        <w:t>2.2.2. Selon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t>Il y a lieu d'admettre qu'une peine pécuniaire ne peut être prononcée lorsque le condamné ne s'acquittera vraisemblablement pas des jours-amende, notamment en présence d'un risque de fuite ou par manque de moyens suffisants (M. DUPUIS /</w:t>
      </w:r>
    </w:p>
    <w:p>
      <w:r>
        <w:t>- 6/11 - P/7239/2022 L. MOREILLON / C. PIGUET / S. BERGER / M. MAZOU / V. RODIGARI, Petit commentaire du code pénal, 2ème éd., 2017, n. 3 ad art. 41).</w:t>
      </w:r>
    </w:p>
    <w:p>
      <w:r>
        <w:t>2.2.3. À teneur de l'art. 42 al. 1 CP, le juge suspend en règle générale l'exécution d'une peine pécuniaire ou d'une peine privative de liberté de deux ans au plus lorsqu'une peine ferme ne paraît pas nécessaire pour détourner l'auteur d'autres crimes ou délits.</w:t>
      </w:r>
    </w:p>
    <w:p>
      <w:r>
        <w:t>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w:t>
      </w:r>
    </w:p>
    <w:p>
      <w:r>
        <w:t>2.2.4.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2.3</w:t>
      </w:r>
    </w:p>
    <w:p>
      <w:r>
        <w:t>En l'espèce, la faute de l'appelant n'est pas négligeable. Si le trafic de stupéfiants auquel il s'est adonné porte certes sur une drogue dite douce, celle-ci n'en a pas moins des effets néfastes sur la santé des consommateurs, ce d'autant que la quantité en cause n'est pas dérisoire. Il a en outre persisté à séjourner illégalement en Suisse, ce qui témoigne d'un mépris pour la législation en vigueur. Ses mobiles sont égoïstes, relevant de l'appât du gain facile s'agissant de la vente de stupéfiants et de son agrément, voire entêtement à demeurer en Suisse en dépit de l'absence de tout lien avec ce pays en ce qui concerne le séjour. Sa collaboration à la procédure est sans particularité. Il a certes reconnu d'emblée les faits qui lui étaient reprochés, mais pouvait difficilement faire autrement au vu des circonstances de son interpellation. Au fil de ses auditions, il n'a eu de cesse de minimiser son implication. Il a ainsi persisté jusqu'en appel à affirmer avoir agi en qualité d'intermédiaire, pour rendre service à un ami et aider C______ qui n'y connaissait rien. Or, outre le fait que la précitée est une polytoxicomane patentée, ce qui rend peu crédible son manque d'expérience dans l'achat de substances illicites, on relèvera que l'appelant n'a pas contesté que celle-ci l'avait spécifiquement contacté le</w:t>
      </w:r>
    </w:p>
    <w:p>
      <w:r>
        <w:t>- 7/11 - P/7239/2022 jour des faits pour obtenir du cannabis, se contentant d'affirmer que cette mission lui avait été confiée car il était l'ami de son conjoint, ce qui ne convainc pas. Sa prise de conscience n'apparaît pas même amorcée. Questionné sur ses antécédents, au nombre de quatre et spécifiques en matière d'infractions à la LEI, il a expliqué n'avoir pas fait de "mauvaises choses", manifestant sa totale désinvolture à l'égard du caractère illicite des actes commis par le passé. Il a par ailleurs qualifié les faits litigieux de très peu de gravité, alors même que ceux-ci dénotent une aggravation de son comportement se concrétisant par la commission d'un délit à la LStup. Sa situation personnelle n'est pas de nature à expliquer ses agissements, la précarité de sa condition lui étant intégralement imputable, étant relevé qu'il ressort de ses propres déclarations qu'il est en contact avec des membres de sa famille au Maroc en mesure de lui apporter leur aide financière, si bien que tout porte à croire qu'il pourrait bénéficier d'une situation plus confortable dans son pays d'origine. Il y a concours d'infractions, ce qui justifie une augmentation de la peine dans une juste mesure. Force est de constater que seul le prononcé d'une peine privative de liberté entre en considération pour sanctionner chacune des infractions commises par l'appelant et escompter un effet dissuasif. En complément des considérations qui précèdent, on relèvera que l'appelant n'a fait aucun cas de ses précédentes condamnations à des peines pécuniaires, dont trois ont pourtant été prononcées sans sursis, ses propos dans la présente procédure témoignant bien au contraire d'une certaine imperméabilité à la sanction. Contrairement à ce qu'il affirme dans son mémoire d'appel, il ne s'est en outre pas toujours acquitté des peines pécuniaires et amendes qui lui ont été infligées par le passé, ayant été incarcéré à titre de conversion durant à tout le moins trois semaines. Dépourvu de moyens de subsistance, ce n'est d'ailleurs que grâce à l'aide financière de ses proches qu'il est parvenu à payer une partie des montants qui lui étaient réclamés, ce qui va manifestement à l'encontre de l'objectif de prévention spéciale inhérent à toute sanction. Dans ce contexte et à la lumière de ses antécédents, le pronostic de l'appelant est manifestement défavorable, si bien que les conditions relatives au prononcé du sursis ne sont pour le surplus pas réalisées. Compte tenu de ce qui précède, une courte peine privative de liberté ferme doit être infligée afin de sanctionner les actes commis par l'appelant. Le raisonnement du premier juge, qui tient adéquatement compte de la faute de l'appelant et des autres éléments évoqués ci-dessus, et consacre par ailleurs une application correcte des critères de l'art. 47 CP, doit être confirmé, en ce sens que l'infraction à l'art. 19 al. 1 let. c LStup, abstraitement la plus grave, justifie à elle</w:t>
      </w:r>
    </w:p>
    <w:p>
      <w:r>
        <w:t>- 8/11 - P/7239/2022 seule le prononcé d'une peine privative de liberté de 40 jours, qui sera aggravée de dix jours (peine hypothétique : 20 jours) pour tenir compte du séjour illégal. Le montant du jour-amende, proportionné à la situation financière de l'appelant et en tout état acquis à ce dernier, doit également être confirmé. L'appel sera donc rejeté et le jugement entrepris confirmé.</w:t>
      </w:r>
    </w:p>
    <w:p>
      <w:r>
        <w:rPr>
          <w:b/>
        </w:rPr>
        <w:t>E. 3</w:t>
      </w:r>
    </w:p>
    <w:p>
      <w:r>
        <w:t>L'appelant, qui succombe, supportera les frais de la procédure envers l'État (art. 428 al. 1 CPP).</w:t>
      </w:r>
    </w:p>
    <w:p>
      <w:r>
        <w:t>Il n'y a pas lieu de revoir la répartition des frais de première instance (art. 426 al. 1 et 428 al. 3 CPP).</w:t>
      </w:r>
    </w:p>
    <w:p>
      <w:r>
        <w:rPr>
          <w:b/>
        </w:rPr>
        <w:t>E. 4</w:t>
      </w:r>
    </w:p>
    <w:p>
      <w:r>
        <w:t>Considéré globalement, l'état de frais produit par Me B______, défenseure d'office de A______, satisfait les exigences légales et jurisprudentielles régissant l'assistance judiciaire gratuite en matière pénale.</w:t>
      </w:r>
    </w:p>
    <w:p>
      <w:r>
        <w:t>La rémunération de celle-ci sera partant arrêtée à CHF 648.60 correspondant à deux heures et 30 minutes d'activité au tarif de CHF 200.-/heure (CHF 500.-) plus la majoration forfaitaire de 20% (CHF 100.-) et l'équivalent de la TVA au taux de 8.1% en CHF 48.60. * * * * *</w:t>
      </w:r>
    </w:p>
    <w:p>
      <w:r>
        <w:t>- 9/11 - P/7239/2022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