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AARP/149/2022 vom 19. Mai 2022</w:t>
      </w:r>
    </w:p>
    <w:p>
      <w:r>
        <w:t>GE Cour de justice, 2022-05-19, FR</w:t>
      </w:r>
    </w:p>
    <w:p>
      <w:r>
        <w:rPr>
          <w:b/>
        </w:rPr>
        <w:t xml:space="preserve">Quelle: </w:t>
      </w:r>
      <w:r>
        <w:t>https://mcp.opencaselaw.ch/entscheid/ge_gerichte_AARP_149_2022</w:t>
      </w:r>
    </w:p>
    <w:p>
      <w:r>
        <w:t>FR: GE_GERICHTE AARP/149/2022 du 19 mai 2022</w:t>
      </w:r>
    </w:p>
    <w:p>
      <w:r>
        <w:t>IT: GE_GERICHTE AARP/149/2022 del 19 maggio 2022</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limite son examen aux violations décrites dans l'acte d'appel (art. 404 al. 1 CPP), sauf en cas de décisions illégales ou inéquitables (art. 404 al. 2 CPP).</w:t>
      </w:r>
    </w:p>
    <w:p>
      <w:r>
        <w:rPr>
          <w:b/>
        </w:rPr>
        <w:t>E. 2.1</w:t>
      </w:r>
    </w:p>
    <w:p>
      <w:r>
        <w:t>À l'aune de l'art. 2 CP, la réforme du droit des sanctions, entrée en vigueur au 1er janvier 2018, est en règle générale moins favorable à la personne condamnée (M. DUPUIS / L. MOREILLON / C. PIGUET / S. BERGER / M. MAZOU / V. RODIGARI [éds], Code pénal, Petit Commentaire, 2ème éd., Bâle 2017, Rem. prél. ad art. 34 à 41, n. 6). Le cas d'espèce ne faisant pas exception, notamment en raison de l'aggravation de la peine plancher de l'art. 140 ch. 1 CP, il sera fait application de l'ancien droit.</w:t>
      </w:r>
    </w:p>
    <w:p>
      <w:r>
        <w:rPr>
          <w:b/>
        </w:rPr>
        <w:t>E. 2.2</w:t>
      </w:r>
    </w:p>
    <w:p>
      <w:r>
        <w:t>L'auteur d'une infraction à l'art. 140 ch. 1 aCP est sanctionné d'une peine privative de liberté de dix ans au plus ou d'une peine pécuniaire de 180 jours-amende au moins et celui d'une infraction à l'art. 140 ch. 3 aCP l'est de deux ans au moins.</w:t>
      </w:r>
    </w:p>
    <w:p>
      <w:r>
        <w:t>- 8/17 - P/8350/2010 Aux termes de l'art. 97 al. 1 CP, l'action pénale se prescrit par quinze ans si la peine maximale encourue est une peine privative de liberté de plus de trois ans (let. b). 2.3.1.1.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136 IV 55 consid. 5 p. 57 ss ; 134 IV 17 consid. 2.1 p. 19 ss ; 129 IV 6 consid. 6.1 p. 20). 2.3.1.2.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 du Tribunal fédéral 6B_1249/2014 du 7 septembre 2015 consid. 1.2). 2.3.1.3. Dans l'exercice de son pouvoir d'appréciation, le juge doit respecter, en particulier, le principe d'égalité de traitement (art. 8 al. 1 de la Constitution fédérale [Cst. féd.]; ATF 135 IV 191 consid. 3.2). Compte tenu des nombreux paramètres qui interviennent dans la fixation de la peine, une comparaison avec des affaires concernant d'autres accusés et des faits différents est d'emblée délicate. Il ne suffit pas que le recourant puisse citer un ou deux cas où une peine particulièrement clémente a été fixée pour prétendre à un droit à l'égalité de traitement (ATF 123 IV 49 consid. 2e ; ATF 120 IV 136 consid. 3a et les références). Les disparités en cette matière s'expliquent normalement par le principe de l'individualisation des peines, voulu par le législateur ; elles ne suffisent pas en elles-mêmes pour conclure à un abus du pouvoir d'appréciation. Ce n'est que si le résultat auquel le juge de</w:t>
      </w:r>
    </w:p>
    <w:p>
      <w:r>
        <w:t>- 9/17 - P/8350/2010 répression est parvenu apparaît vraiment choquant, compte tenu notamment des arguments invoqués et des cas déjà examinés par la jurisprudence, que l'on peut parler d'un abus du pouvoir d'appréciation (ATF 141 IV 61 consid. 6.3.2 ; ATF 135 IV 191 consid. 3.1 ; arrêt du Tribunal fédéral 6B_353/2016 du 30 mars 2017 consid. 3.2). 2.3.2. Selon l'art. 48 let. e CP, le juge atténue la peine si l'intérêt à punir a sensiblement diminué en raison du temps écoulé depuis l'infraction et que l'auteur s'est bien comporté dans l'intervalle. L'atténuation de la peine en raison du temps écoulé depuis l'infraction procède de la même idée que la prescription à savoir la diminution de l'intérêt à punir en raison de l'effet guérisseur du temps écoulé. Il faut également tenir compte qu'en se comportant bien pendant un temps relativement long, l'auteur reconnaît à nouveau l'ordre juridique, de sorte que la nécessité de punir diminue (ATF 140 IV 145 consid. 3.1 p. 148 ; 132 IV 1 consid. 6.1.1 p. 2). La jurisprudence admet donc qu'il s'est écoulé un temps relativement long au sens de l'art. 48 let. e CP lorsque la poursuite pénale est près d'être acquise (ATF 102 IV 198 consid. 5 p. 209 ; 92 IV 201 consid. b p. 202 s.), étant précisé que les délais spéciaux, plus courts, ne s'appliquent pas (art. 109, 118 al. 4 et 178 al. 1 CP ; ATF 132 IV 1 consid. 6.1.1. p. 2 ; 92 IV 201 = JdT 1967 IV 44 ; 89 IV 3 = JdT 1963 IV 36 ; arrêt du Tribunal fédéral 6B_395/2009 du 20 octobre 2009 consid. 6.6.3). Cette condition est en tout cas réalisée lorsque les deux tiers du délai de prescription de l'action pénale sont écoulés. Le juge peut toutefois réduire ce délai pour tenir compte de la nature et de la gravité de l'infraction (ATF 140 IV 145 consid. 3.1 p. 148 ; 132 IV 1 consid. 6.2 p. 2). Le juge doit se référer à la date à laquelle les faits ont été souverainement établis, soit, en cas d'appel, le moment où le jugement de seconde instance a été rendu (ATF 140 IV 145 consid. 3.1 p. 148 ; 132 IV 1 consid. 6.2.1 p. 4; arrêt du Tribunal fédéral 6B_664/2015 du 18 septembre 2015 consid. 1.1). 2.3.3. En l'espèce, la faute de l'appelant est très lourde. Par son comportement, impliquant une forte violence psychologique, il s'en est pris à la liberté et à l'intégrité psychique de plusieurs personnes, ainsi qu'au patrimoine d'autrui. Les deux agresseurs n'ont pas agi au hasard. Un plan, une préparation, dont l'acquisition d'un pistolet factice, et une répartition des rôles ont été nécessaires pour commettre le braquage. La situation personnelle de l'appelant n'explique nullement ses actes, dès lors qu'il avait pu travailler par le passé et qu'il lui aurait été loisible de chercher un travail légal, y compris en dehors du Monténégro, ce qu'il n'a pas fait, préférant adopter un mode de vie ancré dans la délinquance, marqué par l'appât d'un gain facile et important.</w:t>
      </w:r>
    </w:p>
    <w:p>
      <w:r>
        <w:t>- 10/17 - P/8350/2010 Il a des antécédents spécifiques aux casiers judiciaires français et monégasque, lesquels n'entrent pas en concours rétrospectif avec les faits reprochés (art. 49 al. 2 CP; ATF 142 IV 329). Bien que ces condamnations concernent des faits anciens pour la plupart, lesdits antécédents renseignent néanmoins sur la forte intensité de la volonté délictuelle de l'appelant avant son arrestation en 2009. Le butin d'une valeur totale supérieure à CHF 900'000.- et d'environ CHF 2'000'000.- à la revente, dont le sort reste inconnu, est considérable. Les explications de l'appelant à ce propos ne sont pas crédibles. L'inventaire des pièces dérobées en possession des braqueurs à K______, qu'ils n'ont sans doute pas établi dans le train, démontre qu'ils étaient bien en possession du butin à leur arrivée dans cette ville. La collaboration de l'appelant ne saurait être qualifiée de bonne ; s'il a d'emblée reconnu avoir commis le braquage reproché, il pouvait difficilement en aller autrement au vu des éléments au dossier. Comme évoqué, il n'a fourni aucune information au sujet du butin ou d'autres éléments utiles à l'enquête. Il a en effet livré des explications contradictoires, confuses et inconsistantes au sujet du nombre de pièces dérobées qui était inférieur à celui retenu par le bijoutier, des moyens de transport utilisés au moment du braquage, des lieux où ils ont séjourné à Genève et des raisons pour lesquelles il se sont rendus et sont restés, cinq jours durant, à K______. L'incohérence de son récit permet au contraire de conclure, avec les éléments relevés par les enquêteurs mentionnés supra, que des tiers ont très vraisemblablement été impliqués, à propos desquels l'appelant est resté silencieux. Les faits qui lui sont reprochés dans la présente cause sont anciens, les deux tiers du délai de prescription de 15 ans étant dépassés, si bien que l'effet guérisseur du temps écoulé diminue l'intérêt à punir. Depuis les faits et sa longue incarcération, il ne peut être exclu que l'appelant a parcouru un chemin dans la prise de conscience de ses actes et qu'il est disposé à renoncer à la délinquance, étant relevé que rien au dossier ne permet de retenir un mauvais comportement alors qu'il était en détention et qu'il a présenté des excuses et exprimé des regrets à plusieurs reprises. Les condamnations postérieures aux faits reprochés dans la présente cause, telles qu'elles ressortent du dossier, ne le permettent en particulier pas. Celle du 11 mai 2009, qui porte sur l'entrée et le séjour illégaux de l'appelant en France directement consécutifs au braquage et à sa fuite de Suisse, ne saurait en effet être prise en compte dans l'examen du comportement de l'appelant depuis la commission des faits, en étant en quelques sortes la conséquence. Celle du 22 mai 2018 concerne, selon ses dires, non contredits par le dossier et plausibles, la détention d'une clé USB en prison, soit des faits de moindre importance, et ne témoigne donc pas d'un ancrage dans la délinquance depuis les faits. Partant, l'intérêt à punir a diminué pour ce motif également. La circonstance atténuante au sens de l'art. 48 let. e CP doit ainsi être retenue.</w:t>
      </w:r>
    </w:p>
    <w:p>
      <w:r>
        <w:t>- 11/17 - P/8350/2010 Cela étant, l'appelant persiste, encore en appel, dans ses explications dénuées de toute crédibilité, ne démontrant pas avoir achevé son travail d'introspection, de sorte que l'intérêt à punir, certes moindre que si l'appelant avait été jugé rapidement après les faits, subsiste, a fortiori au vu de la nature et la gravité de l'infraction. A l'issue de l'ensemble des éléments qui précèdent, la Cour considère qu'une peine privative de liberté, atténuée, de trois ans est adéquate. La comparaison avec un seul cas similaire de brigandage jugé par la Cour de céans, où une peine de deux ans avait été infligée à l'accusé pour des faits anciens, ne conduit pas à un résultat choquant, étant relevé que la sanction retenue se situe dans la fourchette basse du cadre légal de la peine. Elle ne constitue donc pas une violation de l'égalité de traitement. 2.4.1. Selon l'art. 42 al. 1 CP, le juge suspend en règle générale l'exécution, notamment, d'une peine privative de liberté de deux ans au plus lorsqu'une peine ferme ne paraît pas nécessaire pour détourner l'auteur d’autres crimes ou délits. Si, durant les cinq ans qui précèdent l'infraction, l'auteur a été condamné à une peine privative de liberté ferme ou avec sursis de plus de six mois, il ne peut y avoir de sursis à l'exécution de la peine qu'en cas de circonstances particulièrement favorables (art. 42 al. 2 CP). Dans le cas des peines privatives de liberté entre deux et trois ans, l'art. 43 CP s'applique de manière autonome. En effet, exclu dans ces cas (art. 42 al. 1 CP), le sursis complet est alors remplacé par le sursis partiel pour autant que les conditions subjectives en soient remplies. Le but de la prévention spéciale trouve alors ses limites dans les exigences de la loi qui prévoit dans ces cas qu'une partie au moins de la peine doit être exécutée en raison de la gravité de la faute commise (ATF 134 IV 1 consid. 5.5.1 p. 14). Les conditions subjectives permettant l'octroi du sursis (art. 42 CP), à savoir les perspectives d'amendement, valent en revanche également pour le sursis partiel prévu à l'art.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En revanche, un pronostic défavorable exclut également le sursis partiel. En effet, s'il n'existe aucune perspective que l'auteur puisse être influencé de quelque manière par un sursis complet ou partiel, la peine doit être entièrement exécutée (ATF 134 IV 1 consid. 5.3.1 p. 10 ; arrêt du Tribunal fédéral 6B_129/2015 du 11 avril 2016 consid. 3.1 non reproduit in ATF 142 IV 89).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w:t>
      </w:r>
    </w:p>
    <w:p>
      <w:r>
        <w:t>- 12/17 - P/8350/2010 notamment de l'état d'esprit qu'il manifeste. Le pronostic doit être posé sur la base de tous les éléments propres à éclairer l'ensemble du caractère du prévenu et ses chances d'amendement. Il n'est pas admissible d'accorder un poids particulier à certains critères et d'en négliger d'autres qui sont pertinents (ATF 135 IV 180 consid. 2.1 ; 134 IV 140 consid. 4.2 ; arrêts du Tribunal fédéral 6B_1339/2016 du 23 mars 2017 consid. 1.1.1). Pour fixer dans ce cadre la durée de la partie ferme et avec sursis de la peine, le juge dispose d'un large pouvoir d'appréciation. À titre de critère de cette appréciation, il y a lieu de tenir compte de façon appropriée de la faute de l'auteur. Le rapport entre les deux parties de la peine doit être fixé de telle manière que la probabilité d'un comportement futur de l'auteur conforme à la loi et sa culpabilité soient équitablement prises en compte. Ainsi, plus le pronostic est favorable et moins l'acte apparaît blâmable, plus la partie de la peine assortie du sursis doit être importante. Mais en même temps, la partie ferme de la peine doit demeurer proportionnée aux divers aspects de la faute (ATF 134 IV 1 consid. 5.6 p. 15). Ainsi, la faute constitue au premier chef un critère d'appréciation pour la fixation de la peine (cf. art. 47 CP), puis doit être prise en compte de manière appropriée dans un deuxième temps pour déterminer la partie de la peine qui devra être exécutée (arrêts du Tribunal fédéral 6B_1323/2015 du 2 septembre 2016 consid. 1.1 et 6B_713/2007 du 4 mars 2008 consid. 2.3). 2.4.2. Le passé criminel important de l'appelant et l'admission limitée des faits in casu le peignent sous un jour défavorable. Ces éléments sont toutefois compensés par le fait qu'il subit pour la première fois une très longue période de détention et qu'il énonce des projets de vie stable, crédibles, pour sa sortie de prison. Ainsi, la CPAR veut croire qu'une peine assortie d'un sursis partiel – seul envisageable en l'espèce – sera de nature à l'éloigner de tout agissement illicite à l'avenir. Le pronostic favorable, qui est présumé, n'est ainsi pas totalement renversé et l'appelant sera mis au bénéfice du sursis partiel. Compte tenu de la gravité de la faute commise, et des antécédents spécifiques de l'appelant, la partie ferme de la peine sera arrêtée au maximum légal, soit à 18 mois, le solde étant assorti du sursis. Au vu des antécédents de l’appelant, qui ne l'ont manifestement pas dissuadé d’agir dans la présente espèce mais semblent au contraire lui avoir donné un certain sentiment d'impunité, le délai d'épreuve sera fixé à cinq ans, soit le maximum légal, afin de convaincre l'appelant de se comporter de façon irréprochable à l’avenir.</w:t>
      </w:r>
    </w:p>
    <w:p>
      <w:r>
        <w:rPr>
          <w:b/>
        </w:rPr>
        <w:t>E. 3</w:t>
      </w:r>
    </w:p>
    <w:p>
      <w:r>
        <w:t>L'appelant, qui n'obtient que partiellement gain de cause, supportera la moitié des frais de la procédure d'appel envers l'Etat (art. 428 CPP).</w:t>
      </w:r>
    </w:p>
    <w:p>
      <w:r>
        <w:t>- 13/17 - P/8350/2010 Il n'y a pas lieu de revoir les frais de première instance.</w:t>
      </w:r>
    </w:p>
    <w:p>
      <w:r>
        <w:rPr>
          <w:b/>
        </w:rPr>
        <w:t>E. 4.1</w:t>
      </w:r>
    </w:p>
    <w:p>
      <w:r>
        <w:t>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 Dans le cadre des mandats d'office, l'Etat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(AARP/295/2015 du 12 juillet 2015 consid. 8.2.2.3, 8.2.2.6, 8.3.1.1 et 8.3.2.1).</w:t>
      </w:r>
    </w:p>
    <w:p>
      <w:r>
        <w:rPr>
          <w:b/>
        </w:rPr>
        <w:t>E. 4.2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t>- 14/17 - P/8350/2010</w:t>
      </w:r>
    </w:p>
    <w:p>
      <w:r>
        <w:rPr>
          <w:b/>
        </w:rPr>
        <w:t>E. 4.3</w:t>
      </w:r>
    </w:p>
    <w:p>
      <w:r>
        <w:t>Lorsque le client de l'avocat est détenu, une visite d'une heure et 30 minutes par mois jusqu'au prononcé du jugement ou de l'arrêt cantonal est admise ce qui comprend le temps de déplacement (AARP/181/2017 du 30 mai 2017 consid. 8.2.2.2 et 8.3.5 ; cf. également Ordonnance de la Cour des plaintes du Tribunal pénal fédéral BB.2016.369 du 12 juillet 2017 consid. 4.2.4). Il se justifie dans le cas où le lieu de détention se trouve hors du canton de tenir compte de la durée vraisemblable de la vacation dans le calcul de l'indemnité (ordonnance de la Cour des plaintes du Tribunal pénal fédéral BB.2016.58 du 26 août 2016 consid. 6.5 ; ACPR/400/2016 du 29 juin 2016 consid. 3.4.4). Le tarif appliqué doit néanmoins être réduit de moitié, l'avocat pouvant mettre utilement ce temps à profit pour travailler, et le remboursement du billet de train limité au prix de la 2ème classe (AARP/298/2014 du 27 juin 2014 ; AARP/125/2014 du 21 mars 2014; cf. ordonnance de la Cour des plaintes BB.2015.44 du 27 octobre 2015 consid. 3.2.4).</w:t>
      </w:r>
    </w:p>
    <w:p>
      <w:r>
        <w:rPr>
          <w:b/>
        </w:rPr>
        <w:t>E. 4.4</w:t>
      </w:r>
    </w:p>
    <w:p>
      <w:r>
        <w:t>En l'occurrence, le dossier de la cause comprend trois classeurs d’instruction, pièces de forme comprises, et un petit classeur comprenant les pièces de la procédure de première instance ; il était connu du conseil de l’appelant, qui l'a plaidé il y a peu en première instance et qui n'a pas soulevé d'argument nouveau dans la procédure d'appel, limitée à la question de la peine. Ainsi, le temps consacré à l’étude du dossier, puis à la préparation des débats d’appel, qui totalise 14 heures et 30 minutes, est manifestement exagéré. Il sera arrêté à quatre heures d'activité. Les deux heures consacrées au déplacement en voiture pour la visite au pénitencier de B______ seront facturées à la moitié du tarif horaire conformément à la jurisprudence dont il n'y a pas lieu de s'écarter.</w:t>
      </w:r>
    </w:p>
    <w:p>
      <w:r>
        <w:t>En conclusion, la rémunération sera arrêtée à CHF 2'121.70 correspondant à sept heures et 30 minutes d'activité au tarif de CHF 200.-/heure (CHF 1'500.-), deux heures d'activité au tarif de CHF 100.-/heure (CHF 200.-), plus la majoration forfaitaire de 10% (CHF 170.-), l’activité totale dépassant dorénavant 30 heures, une vacation au Palais de justice à CHF 100.- et l'équivalent de la TVA au taux de 7.7% en CHF 151.70. * * * * *</w:t>
      </w:r>
    </w:p>
    <w:p>
      <w:r>
        <w:t>- 15/17 - P/8350/2010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