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AARP/148/2022 vom 10. Mai 2022</w:t>
      </w:r>
    </w:p>
    <w:p>
      <w:r>
        <w:t>GE Cour de justice, 2022-05-10, FR</w:t>
      </w:r>
    </w:p>
    <w:p>
      <w:r>
        <w:rPr>
          <w:b/>
        </w:rPr>
        <w:t xml:space="preserve">Quelle: </w:t>
      </w:r>
      <w:r>
        <w:t>https://mcp.opencaselaw.ch/entscheid/ge_gerichte_AARP_148_2022</w:t>
      </w:r>
    </w:p>
    <w:p>
      <w:r>
        <w:t>FR: GE_GERICHTE AARP/148/2022 du 10 mai 2022</w:t>
      </w:r>
    </w:p>
    <w:p>
      <w:r>
        <w:t>IT: GE_GERICHTE AARP/148/2022 del 10 maggio 2022</w:t>
      </w:r>
    </w:p>
    <w:p>
      <w:pPr>
        <w:pStyle w:val="Heading2"/>
      </w:pPr>
      <w:r>
        <w:t>Erwägungen</w:t>
      </w:r>
    </w:p>
    <w:p>
      <w:r>
        <w:rPr>
          <w:b/>
        </w:rPr>
        <w:t>E. 1</w:t>
      </w:r>
    </w:p>
    <w:p>
      <w:r>
        <w:t>L'appel est recevable pour avoir été interjeté et motivé selon la forme et dans les délais prescrits (art. 398 et 399 du Code de procédure pénale [CPP]). Il en va de même du recours formé par l’avocate d’office (art. 393 et 396 CPP).</w:t>
      </w:r>
    </w:p>
    <w:p>
      <w:r>
        <w:t>La Chambre limite son examen aux violations décrites dans l'acte d'appel (art. 404 al. 1 CPP), sauf en cas de décisions illégales ou inéquitables (art. 404 al. 2 CPP).</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2.2</w:t>
      </w:r>
    </w:p>
    <w:p>
      <w:r>
        <w:t>Aux termes de l'art. 42 al. 1 CP, le juge suspend en règle générale l'exécution d'une peine pécuniaire ou d'une peine privative de liberté de deux ans au plus lorsqu'une peine ferme ne paraît pas nécessaire pour détourner l'auteur d'autres crimes ou délits.</w:t>
      </w:r>
    </w:p>
    <w:p>
      <w:r>
        <w:t>- 7/18 - P/114/2022</w:t>
      </w:r>
    </w:p>
    <w:p>
      <w:r>
        <w:rPr>
          <w:b/>
        </w:rPr>
        <w:t>E. 2.3</w:t>
      </w:r>
    </w:p>
    <w:p>
      <w:r>
        <w:t>Selon l'article 89 al. 2 CP, le juge peut renoncer à réintégrer dans l'établissement de détention le détenu libéré conditionnellement ayant commis un nouveau crime ou délit, s'il n'y a pas lieu de craindre que celui-ci commette d'autres infractions. L'échec de la mise à l'épreuve au sens de l'article 89 al. 2 CP suppose la commission d'un crime ou d'un délit, laissant présager que le détenu libéré conditionnellement ne s'en tiendrait pas là. Un tribunal devait décider de la réintégration en procédant à une « projection comportementale dans l'avenir », excluant une « infraction accidentelle » comme indice d'échec (FF 1998 1929). Pour la doctrine, la commission d'un nouveau crime ou d'un nouveau délit ne constitue qu'un des facteurs à considérer, le pronostic quant à la capacité de l'intéressé à vivre de manière conforme à la loi dans le futur devant à nouveau être établi (G. STRATENWERTH, Schweizerisches Strafrecht, Allgemeiner Teil II, 2e éd., Berne 2006, § 5 n. 95 p. 164). Il en va de même des auteurs du Commentaire bâlois (M. NIGGLI / H. WIPRÄCHTIGER, Basler Kommentar Strafrecht I : Art. 1- 110 StGB, Jugendstrafgesetz, 2e éd., Bâle 2007, n. 3 ad art. 89) qui attendent du juge un pronostic quant à la signification des crimes ou des délits commis pendant le délai d'épreuve, fondé sur la notion de prévention spéciale qui prévaut en matière de libération conditionnelle. Par sa nature même, le pronostic à émettre ne saurait être tout à fait sûr ; il doit suffire de pouvoir raisonnablement conjecturer que le détenu ne commettra pas de nouvelles infractions (arrêt du Tribunal fédéral 6B_1034/2013 du 31 mars 2014 consid. 2.1 ; ATF 98 Ib 106 consid. 1b p. 107).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De même qu'en matière de fixation de la peine, la motivation du jugement (art. 50 CP) doit permettre la vérification de la correcte application du droit fédéral. Dans l'émission du pronostic, le juge dispose d'un large pouvoir d'appréciation (arrêts du Tribunal fédéral 6B_1034/2013 du 31 mars 2014 consid. 2.1, 6B_663/2009 du 19 octobre 2009 consid. 1.2 et 6B_303/2007 du</w:t>
      </w:r>
    </w:p>
    <w:p>
      <w:r>
        <w:rPr>
          <w:b/>
        </w:rPr>
        <w:t>E. 2.4</w:t>
      </w:r>
    </w:p>
    <w:p>
      <w:r>
        <w:t>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 137 II 297 consid. 2.3.4 p. 301 ; arrêt du Tribunal fédéral 6B_420/2017 du 15 novembre 2017 consid. 2.1).</w:t>
      </w:r>
    </w:p>
    <w:p>
      <w:r>
        <w:rPr>
          <w:b/>
        </w:rPr>
        <w:t>E. 2.5</w:t>
      </w:r>
    </w:p>
    <w:p>
      <w:r>
        <w:t>Selon l’art. 106 al. 2 CP, le juge qui prononce une amende contraventionnelle doit prononcer une peine privative de liberté de substitution pour le cas où le condamné ne la paie pas. L'action pénale et la peine se prescrivent par trois ans (art. 109 CP). La prescription de la peine court du jour où la condamnation à l'amende devient exécutoire (art. 100 al. 1 CP applicable par renvoi de l'art. 104 CP; ATF 105 IV 14 consid. 2 et 3 ; arrêt du Tribunal fédéral 6B_1099/2010 du 28 mars 2011 consid. 2.2). Une prolongation du délai de prescription de la peine n'est possible que pour une peine privative de liberté dans les hypothèses visées à l'art. 99 al. 2 CP. Cette disposition ne prévoit aucune prolongation du délai de prescription de la peine pour une amende. La procédure de conversion de l'amende n'a pas d'influence et ne saurait permettre une prolongation du délai de prescription. En cas de conversion de peine, la prescription de celle-ci reste déterminée par la peine originelle ce qui exclut toute prolongation de la prescription pour les amendes (arrêt du Tribunal fédéral 6B_336/2012 du 17 octobre 2012 consid. 1.3 ; L. MOREILLON / A. MACALUSO / N. QUELOZ / N. DONGOIS (éds), Commentaire romand, Code pénal I, art. 1-110 CP, 2ème éd., Bâle 2021, n. 24 et 25 ad art. 99 CP).</w:t>
      </w:r>
    </w:p>
    <w:p>
      <w:r>
        <w:rPr>
          <w:b/>
        </w:rPr>
        <w:t>E. 2.6</w:t>
      </w:r>
    </w:p>
    <w:p>
      <w:r>
        <w:t>Une partie de la doctrine considère que la libération conditionnelle n’entre pas en ligne de compte en cas de peine privative de liberté de substitution consécutive au prononcé d’une amende, l’art. 106 al. 2 CP prévoyant que ladite peine ne peut excéder trois mois et la libération conditionnelle n’entrant en considération qu’après trois mois (L. MOREILLON / A. MACALUSO / N. QUELOZ / N. DONGOIS (éds), op. cit., n. 22 ad art. 86 CP). D’autres auteurs soulignent toutefois qu’une libération</w:t>
      </w:r>
    </w:p>
    <w:p>
      <w:r>
        <w:t>- 9/18 - P/114/2022 conditionnelle est envisageable en cas de cumul de peines privatives de liberté de substitution d’une durée totale supérieure à trois mois (M. NIGGLI / H. WIPRÄCHTIGER, Basler Kommentar Strafrecht I : Art. 1-136 StGB, 4ème éd., Bâle 2019, Vor Art. 86 n. 6). Une telle hypothèse est d’ailleurs (implicitement) envisagée à l’art. 5 de l’ordonnance relative au code pénal et au code pénal militaire (O-CP-CPM). La doctrine n’a pas examiné les conséquences de la libération conditionnelle en cas de peine mixte, mélangeant des peines privatives de liberté et des peines privatives de liberté de substitution délictuelles et contraventionnelles, comme c’est le cas en l’espèce. Le seul ouvrage à examiner cette situation se contente d’évoquer que la révocation d’une libération conditionnelle de peine contraventionnelle ne devrait pas survenir, les contraventions n’étant pas inscrites au casier judiciaire (M. NIGGLI / H. WIPRÄCHTIGER, op. cit. n. 1 ad art. 89).</w:t>
      </w:r>
    </w:p>
    <w:p>
      <w:r>
        <w:rPr>
          <w:b/>
        </w:rPr>
        <w:t>E. 2.7</w:t>
      </w:r>
    </w:p>
    <w:p>
      <w:r>
        <w:t>Une situation telle que celle de l’appelante, qui a bénéficié d’une libération conditionnelle après avoir subi une détention en raison de conversions d’amendes, d’une peine privative de liberté et d’une peine privative de liberté de substitution pour un solde de peine pécuniaire, n’a, à la connaissance de la Cour, jamais été examinée par la doctrine ou le Tribunal fédéral. Le fait qu’un prévenu se trouvant dans une telle situation puisse bénéficier d’une libération conditionnelle ne doit toutefois pas conduire à ce que sa situation s’en retrouve aggravée. Ainsi, le prononcé d’une libération conditionnelle dans de telles circonstances ne doit pas porter atteinte au droit inconditionnel du condamné de s’acquitter de l’amende ou de la peine pécuniaire pour échapper à la peine privative de liberté de substitution, comme le permettent les art. 106 al. 4 et 36 al. 1 in fine CP. Lorsqu’un condamné exécute simultanément des peines privatives de liberté de différente nature, le prononcé de la libération conditionnelle ne devrait ainsi pas aboutir, en cas de récidive, au prononcé d’une peine d’ensemble de nature différente. En effet, même en cas de récidive ultérieure, le prévenu condamné à une amende ou à une peine pécuniaire doit toujours pouvoir se soustraire à la détention en acquittant le montant de l’amende ou de la peine pécuniaire à laquelle il a été initialement condamné. De surcroît, et surtout, le prononcé de la libération conditionnelle ne peut pas suspendre ni reporter le délai de prescription de trois ans de l’art. 109 CP, puisque l’exécution d’une peine privative de liberté ou l’octroi d’un délai d’épreuve ne suspendent pas le délai de prescription de la peine contraventionnelle ni d’ailleurs d’une peine pécuniaire (art. 99 al. 2 CP a contrario). Ainsi, lors du prononcé d’une telle libération conditionnelle, le délai d’épreuve imparti au condamné, tout comme une éventuelle révocation, doivent être examinés en respectant le délai de prescription de la peine de l’art. 109 CP.</w:t>
      </w:r>
    </w:p>
    <w:p>
      <w:r>
        <w:t>- 10/18 - P/114/2022 3. 3.1. En l'espèce, les faits reprochés à l'appelante sont établis par les éléments figurant dans la procédure et ne sont d'ailleurs pas contestés. 3.2. La faute de A______ n'est pas négligeable mais elle doit être relativisée. En effet, elle est certes revenue en Suisse au mépris de deux décisions d'expulsion prises à son encontre après avoir été condamnée à quatre reprises pour rupture de ban, mais son comportement a manifestement été induit par son importante toxicomanie, étant souligné que la rechute en fait hélas partie intégrante. Même si cette pathologie n’excuse pas la rupture de ban commise, elle l’explique en partie, notamment par l’attrait, pour une personne toxicomane se trouvant en zone frontalière, de l’infrastructure mise à disposition au Quai 9. La situation personnelle de l’appelante, bien que précaire, ne justifiait ainsi pas ses agissements. Elle aurait ainsi dû recourir à l'aide de son assistante sociale en France au lieu de revenir à Genève. Ses antécédents sont nombreux et spécifiques, ce qui constitue un facteur aggravant de la peine. Il est regrettable qu'elle n'en ait apparemment pas pris la mesure avant de persévérer dans ses agissements coupables et qu’elle n’ait pas saisi la chance qui lui avait été donnée lors de sa mise en liberté par la Cour de céans en novembre 2021. Sa collaboration est sans particularité. Sa prise de conscience du caractère illicite de ses agissements et son amendement semblent sincères. Compte tenu des nombreux antécédents et de son incapacité à payer les peines pécuniaires et amendes prononcées antérieurement à son encontre, seule une peine privative de liberté apparaît susceptible de la dissuader de récidiver, une peine pécuniaire n’ayant de surcroît aucune chance d’être recouvrée au vu des nombreuses peines privatives de liberté de substitution déjà prononcées à son encontre. Au surplus, l’appelante ne conteste à raison pas qu’elle ne remplit plus les conditions du sursis. 3.3. L’appelante a récidivé dans le délai d’épreuve imparti par la décision de libération conditionnelle du 5 février 2021. En novembre 2021, la Cour de céans avait décidé de renoncer à révoquer cette libération conditionnelle, considérant qu’il convenait de poser, une dernière fois, un pronostic positif. L’appelante a à nouveau récidivé, et le pronostic ne peut aujourd’hui plus que lui être défavorable. Toutefois, la décision du TAPEM portait sur une peine regroupant des conversions d’amendes pour une durée totale de 303 jours, une peine privative de liberté de 179 jours et une peine privative de liberté de substitution pour un solde de peine pécuniaire de 104 jours. Au moment de la libération conditionnelle, le TAPEM n’a</w:t>
      </w:r>
    </w:p>
    <w:p>
      <w:r>
        <w:t>- 11/18 - P/114/2022 pas indiqué si la prévenue avait purgé en priorité l’une ou l’autre peine au cours de son incarcération, encore moins à quelles peines se rapportait le solde de peine assorti du délai d’épreuve. La simple mention de la libération conditionnelle au casier judiciaire ne permet pas de considérer qu’elle ne se rapporte qu’aux peines inscrites à ce registre, puisque plus de la moitié de la détention subie se rapportait à des conversions d’amendes et que l’appelante avait finalement subi une détention plus longue que la seule peine privative de liberté « pure » prononcée à son encontre. L’ordre dans lequel les peines sont purgées n’est pas non plus spécifié dans les textes légaux, notamment l’O-CP-CPM qui prévoit pourtant le principe de l’exécution cumulée des sanctions. On pourrait considérer que la peine privative de liberté – considérée comme la plus grave et ne pouvant pas être remplacée par le paiement de la sanction – est purgée en premier. Cela signifierait que la peine qui se prescrit la première n’est pas purgée en priorité et peut donc encore se prescrire en cours d’exécution, ce qui paraît contradictoire. Il n’est en l’espèce pas possible de reconstituer l’ordre dans lequel les peines ont été purgées ; à défaut de toute précision, la Cour de céans retiendra que le solde de peine est constitué, proportionnellement, de toutes les peines concernées, soit à concurrence d’un peu plus de la moitié (303 jours sur 586) des peines privatives de liberté de substitution contraventionnelles. Ainsi, le solde de peine de sept mois et neuf jours – soit 219 jours – se compose, à raison de la moitié, de peines privatives de liberté de substitution pour des amendes. Toutefois, les 303 jours de peine contraventionnelle initialement compris dans la peine subie sont prescrits, et l’étaient d’ailleurs pour la plupart déjà lors du prononcé du premier juge, à l’exception de 36 jours qui se prescriront après l’échéance de la peine prononcée dans la présente cause (cf. infra). Ainsi, le solde de peine que l’appelante pourrait en théorie encore devoir purger en conversion des amendes en cause s’élève au plus au tiers de 36 jours (cf. art. 86 CP), soit 12 jours. En revanche, la peine privative de liberté de substitution à la peine pécuniaire n’est pas prescrite (art. 99 al. 1 let. e CP : prescription le 9 juillet 2024), ni la peine prononcée le 18 juin 2019, dont le délai de prescription de cinq ans (art. 99 al. 1 let. e CP) est prolongé de la durée de la détention subie et de celle du délai d’épreuve (art. 99 al. 2 CP). Le solde de peine afférent à ces condamnations – qui ne peut excéder un tiers de chaque peine, conformément à l’art. 86 CP, puisqu’elles ne peuvent pas former une peine d’ensemble vu leur genre différent – s’élève à 59 jours de peine privative de liberté (1/3 de 179 jours) et 34 jours de peine privative de liberté de substitution (1/3 de 104 jours de peine pécuniaire). Seuls pourraient ainsi être révoqués, dans le respect des règles sur la prescription, un solde de peine privative de liberté de substitution contraventionnelle de 12 jours, 59 jours de peine privative de liberté et 34 jours de peine privative de liberté de</w:t>
      </w:r>
    </w:p>
    <w:p>
      <w:r>
        <w:t>- 12/18 - P/114/2022 substitution délictuelle. La décision du TAPEM, telle qu’elle figure au dossier de la procédure et est transcrite au casier judiciaire, ne procède pas à cette distinction, et ne mentionne de surcroît pas la prescription d’une partie du solde de peine, intervenue entre octobre 2021 et février 2022, puisqu’elle mentionne uniquement un solde global. La Cour de céans ne peut pas revoir cette décision, qui est entrée en force. Elle est toutefois liée par la prescription absolue d’une partie de cette peine et ne peut donc tenir compte d’un solde de peine excédant 105 jours. 3.4. Le premier juge a retenu que la rupture de ban commise par l’appelante emportait une peine de base de trois mois et demi, qui apparaît adéquate. Cette peine doit, conformément aux art. 89 al. 6 et 49 al. 2 CP, être aggravée pour tenir compte du solde de peine consécutif à la révocation de la libération conditionnelle. Compte tenu du caractère mixte de cette peine, il ne faut toutefois procéder à cette aggravation qu’avec retenue. Ainsi, la peine d’ensemble sera portée à cinq mois, pour tenir compte de la quotité (105 jours) mais également de la nature de la peine dont l’exécution est ordonnée du fait de la révocation de la libération conditionnelle. L’appel de A______ doit ainsi être partiellement admis. 4. 4.1.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w:t>
      </w:r>
    </w:p>
    <w:p>
      <w:r>
        <w:t>- 13/18 - P/114/2022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4.2.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t>4.4. En l’espèce, la défenseure de l’appelante se méprend dans son recours sur la décision du TP, qui n’a pas exclu le temps de préparation d’audience, mais l’a au contraire rajouté au nombre d’heures initialement retenu par le service de l’assistance juridique qui, lui, l’avait écarté. La différence entre l’état de frais (provisoire) adressé avant l’audience (6h40, incluant deux heures de préparation d’audience et deux heures d’audience) et le montant des honoraires alloués par le premier juge n’est d’ailleurs que d’une heure (5h40, incluant deux heures de préparation et la durée de l’audience de jugement de 1h15). La différence réside ainsi dans la durée plus courte de l’audience (45 minutes) et dans le refus d’indemniser 15 minutes pour la consultation. Or, il ressort de la procédure qu’en réalité aucune consultation n’a eu lieu, puisque l’avocate a directement sollicité et obtenu la remise d’une copie intégrale de la procédure le 18 février 2022. Un éventuel déplacement au greffe du Tribunal pour y récupérer ces copies ne constitue pas une activité sujette à indemnisation (qui plus est au tarif d’associée), puisqu’un simple envoi par la poste aurait atteint le même but.</w:t>
      </w:r>
    </w:p>
    <w:p>
      <w:r>
        <w:t>Ainsi, le recours est mal fondé et sera intégralement rejeté. Dans la mesure où la rédaction de la motivation du premier juge comporte peut-être une ambiguïté – non prise en compte puis ajout d’une prestation– il sera exceptionnellement renoncé à percevoir des frais en lien avec le rejet du recours.</w:t>
      </w:r>
    </w:p>
    <w:p>
      <w:r>
        <w:t>Aucun dépens ne sera toutefois alloué à la recourante, qui succombe. 4.5. Considéré globalement, l'état de frais produit pour la procédure d’appel par Me C______, défenseure d'office de l’appelante, satisfait les exigences légales et jurisprudentielles régissant l'assistance judiciaire gratuite en matière pénale. Il convient cependant de le compléter de la durée de l’audience et d’une vacation.</w:t>
      </w:r>
    </w:p>
    <w:p>
      <w:r>
        <w:t>- 14/18 - P/114/2022</w:t>
      </w:r>
    </w:p>
    <w:p>
      <w:r>
        <w:t>La rémunération de Me C______ sera partant arrêtée à CHF 1'077.- correspondant à 3h45 d'activité au tarif de CHF 200.-/heure plus la majoration forfaitaire de 20%, une vacation à CHF 100.- et l'équivalent de la TVA au taux de 7.7% en CHF 77.-. 5. La demande de mise en liberté formée par l’appelante ayant fait l’objet d’un rejet motivé lors du prononcé du dispositif du présent arrêt, il n’y a pas lieu de statuer à nouveau sur la détention de l’appelante, qui se trouve en exécution anticipée de peine.</w:t>
      </w:r>
    </w:p>
    <w:p>
      <w:r>
        <w:rPr>
          <w:b/>
        </w:rPr>
        <w:t>E. 6</w:t>
      </w:r>
    </w:p>
    <w:p>
      <w:r>
        <w:t>L'appelante, qui obtient partiellement gain de cause, supportera la moitié des frais de la procédure envers l'État (art. 428 CPP).</w:t>
      </w:r>
    </w:p>
    <w:p>
      <w:r>
        <w:t>Le principe de sa culpabilité, tout comme celui de la révocation de la libération conditionnelle, sont confirmés. Le premier juge a toutefois ordonné l’exécution d’une peine prescrite en prononçant une peine d’ensemble de dix mois. Pour ce motif, l’émolument complémentaire de jugement sera laissé à la charge de l’Etat. Il n’y a en revanche pas lieu de revoir la répartition des autres frais de la procédure préliminaire et de première instance, qui restent à la charge de l’appelante.</w:t>
      </w:r>
    </w:p>
    <w:p>
      <w:r>
        <w:rPr>
          <w:b/>
        </w:rPr>
        <w:t>E. 7</w:t>
      </w:r>
    </w:p>
    <w:p>
      <w:r>
        <w:t>L’appelante sera déboutée de ses conclusions en indemnisation, la procédure ne conduisant à aucune détention excessive (art. 429 al. 1 let. c et 431 al. 2 CPP a contrario). * * * * *</w:t>
      </w:r>
    </w:p>
    <w:p>
      <w:r>
        <w:t>- 15/18 - P/114/2022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