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AARP/148/2019 vom 2. Mai 2019</w:t>
      </w:r>
    </w:p>
    <w:p>
      <w:r>
        <w:t>GE Cour de justice, 2019-05-02, FR</w:t>
      </w:r>
    </w:p>
    <w:p>
      <w:r>
        <w:rPr>
          <w:b/>
        </w:rPr>
        <w:t xml:space="preserve">Quelle: </w:t>
      </w:r>
      <w:r>
        <w:t>https://mcp.opencaselaw.ch/entscheid/ge_gerichte_AARP_148_2019</w:t>
      </w:r>
    </w:p>
    <w:p>
      <w:r>
        <w:t>FR: GE_GERICHTE AARP/148/2019 du 2 mai 2019</w:t>
      </w:r>
    </w:p>
    <w:p>
      <w:r>
        <w:t>IT: GE_GERICHTE AARP/148/2019 del 2 maggio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- 14/33 - P/16091/2015</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juillet 2017 consid. 5.1).</w:t>
      </w:r>
    </w:p>
    <w:p>
      <w:r>
        <w:t>- 15/33 - P/16091/2015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2.2.1.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Dans une affaire traitant d'un coup de poing au visage impliquant notamment un hématome sous- orbitaire avec palpation douloureuse de l'os malaire chez la victime, le Tribunal fédéral a retenu qu'un hématome, résultant de la rupture de vaisseaux sanguins, qui laisse normalement des traces pendant plusieurs jours, doit être qualifié de lésion corporelle. Compte tenu du peu de gravité de la lésion, il a jugé que la cour cantonale n'avait pas violé le droit fédéral en faisant application de l'art. 123 ch. 1 al. 2 CP (ATF 119 IV 25 consid. 2a p. 25 ss ; arrêt du Tribunal fédéral 6B_1405/2017 du</w:t>
      </w:r>
    </w:p>
    <w:p>
      <w:r>
        <w:rPr>
          <w:b/>
        </w:rPr>
        <w:t>E. 10</w:t>
      </w:r>
    </w:p>
    <w:p>
      <w:r>
        <w:t>décembre 2012 consid. 3.7) – l'équivalent de la TVA est versé en sus.</w:t>
      </w:r>
    </w:p>
    <w:p>
      <w:r>
        <w:t>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- 29/33 - P/16091/2015</w:t>
      </w:r>
    </w:p>
    <w:p>
      <w:r>
        <w:t>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6.3. En l'occurrence, considéré dans sa globalité, l'état de frais présenté par Me C______, défenseur d'office de A______, paraît adéquat et conforme aux principes qui précèdent, de sorte qu'il n'est pas nécessaire de reprendre le détail des postes qui le composent. Aussi, l'indemnité requise de CHF 1'202.50, correspondant à 1h30 d'activité au tarif de CHF 200.-/heure (CHF 300.-), 6h30 à celui de CHF 110.- (CHF 715.-) plus la majoration forfaitaire de 10% (vu l'activité indemnisée en première instance ; CHF 101.50) et l'équivalent de la TVA au taux de 7.7% en (CHF 86.-), sera-t-elle allouée.</w:t>
      </w:r>
    </w:p>
    <w:p>
      <w:r>
        <w:t>6.4. En application des principes rappelés supra, il sera retranché de l'état de frais de Me E______, conseil juridique gratuit de D______ 3h45 du poste "Examen du dossier – rédaction d'un mémoire de réponse et vacation" (qui en compte 6h45), 3h s'avérant amplement suffisantes à ce stade de la procédure, dans un dossier plaidé en première instance cinq mois plus tôt seulement, pour fournir deux pages d'écritures sur le fond ; il n'y a par ailleurs eu aucune vacation à la CPAR.</w:t>
      </w:r>
    </w:p>
    <w:p>
      <w:r>
        <w:t>- 30/33 - P/16091/2015 En conclusion, l'indemnité sera arrêtée à CHF 1'007.- correspondant à 4h15 heures d'activité au tarif de CHF 200.-/heure plus la majoration forfaitaire de 10% (vu l'activité indemnisée en première instance ; CHF 85.-) et l'équivalent de la TVA au taux de 7.7% en (CHF 72.-). * * * * *</w:t>
      </w:r>
    </w:p>
    <w:p>
      <w:r>
        <w:t>- 31/33 - P/16091/2015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