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AARP/148/2016 vom 19. April 2016</w:t>
      </w:r>
    </w:p>
    <w:p>
      <w:r>
        <w:t>GE Cour de justice, 2016-04-19, FR</w:t>
      </w:r>
    </w:p>
    <w:p>
      <w:r>
        <w:rPr>
          <w:b/>
        </w:rPr>
        <w:t xml:space="preserve">Quelle: </w:t>
      </w:r>
      <w:r>
        <w:t>https://mcp.opencaselaw.ch/entscheid/ge_gerichte_AARP_148_2016</w:t>
      </w:r>
    </w:p>
    <w:p>
      <w:r>
        <w:t>FR: GE_GERICHTE AARP/148/2016 du 19 avril 2016</w:t>
      </w:r>
    </w:p>
    <w:p>
      <w:r>
        <w:t>IT: GE_GERICHTE AARP/148/2016 del 19 aprile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(let. a) ; la quotité de la peine (let. b)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w:t>
      </w:r>
    </w:p>
    <w:p>
      <w:r>
        <w:t>- 7/15 - P/1568/2014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6B_1209/2015 du 23 mars 2016 consid. 1). 2.2.1.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La menace peut en outre être transmise par un intermédiaire (B. CORBOZ, Les infractions en droit suisse, vol. I, 3e éd., Berne 2010, n. 5 ad art. 180).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2.2.2. Selon l'art. 12 al. 2 CP, agit intentionnellement quiconque commet un crime ou un délit avec conscience et volonté. L'auteur agit déjà intentionnellement lorsqu'il tient pour possible la réalisation de l'infraction et l'accepte au cas où celle-ci se produirait. Ainsi, l'auteur, qui ne veut pas le résultat dommageable pour lui-même, mais qui envisage le résultat de son acte comme possible et l'accepte au cas où</w:t>
      </w:r>
    </w:p>
    <w:p>
      <w:r>
        <w:t>- 8/15 - P/1568/2014 il se produirait, agit intentionnellement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2.3.1. En l'espèce, les déclarations à géométrie variable de l'appelant peinent à convaincre. Après avoir initialement contesté avoir téléphoné à l'OCAS, il l'a ensuite admis, niant avoir soutenu le contraire et alléguant une animosité de la police à son égard, pour, finalement, avouer avoir été énervé lors de l'appel du 22 novembre 2013. L'appelant a également varié pour tenter de coller aux déclarations postérieures de l'intimée sur les circonstances de son appel le 14 janvier 2014 et sur la date de la prise en charge par cette dernière de son dossier. En outre, l'appelant a soutenu s'être opposé au refus de l'OCAS de prestations AI avant le 22 novembre 2013, raison pour laquelle il lui aurait été inutile de se plaindre à cette autorité. Or, il n'a pas produit d'acte de recours, alors qu'il lui aurait été aisé de le faire, pour donner de la substance à son propos. L'appelant maintient également que le témoin D______ s'est trompé dans la mesure où il ne connaît pas le mot "décédé", le témoin ayant mal compris les propos, voire mentirait pour lui nuire. Seulement, ces deux hypothèses s'excluent mutuellement. Quoiqu'il en soit, l'une et l'autre ne résistent pas à l'examen. L'appelant, qui vit en Suisse depuis de nombreuses années, s'est exprimé en français au téléphone et démontre ainsi une certaine connaissance de cette langue. Ensuite, le mot "décidé" dans le contexte de la phrase concernant le Dr F______ rend le propos tenu au témoin D______ dénué de sens, étant précisé qu'il est principalement reproché à l'appelant d'avoir utilisé le mot "morte" qu'il a admis connaître. Enfin, il n'est pas établi que le témoin D______ et le Dr F______ se connaissaient, ni que le premier aurait voulu venger le second, ce d'autant que c'est par hasard qu'il a répondu au téléphone de l'appelant. Dès lors, la théorie du complot ne trouve aucune assise dans le dossier et doit être écartée. A l'inverse, D______ est restée constante lors de ses différentes auditions et son récit est modéré et circonstancié. Elle a toujours maintenu avoir spontanément indiqué les voies de droit après que l'appelant se fut plaint du refus consécutif à sa demande de prestations AI. Ce dernier, qui se disait fâché, avait ensuite tenu les propos litigieux. Rien ne permet de penser que cette version serait le fruit d'une quelconque animosité à son égard. En conclusion, c'est à juste titre que le premier juge a retenu que l'appelant avait tenu les propos rapportés par le témoin D______.</w:t>
      </w:r>
    </w:p>
    <w:p>
      <w:r>
        <w:t>- 9/15 - P/1568/2014 2.3.2. Sur le plan juridique, il est indubitable que la phrase "Madame E______, vous êtes morte" constitue une menace de mort, soit des menaces graves, étant précisé que l'infraction peut également être réalisée lorsque des propos menaçants sont rapportés. En l'occurrence, la victime, pourtant régulièrement confrontée à de l'agressivité dans son activité, a indiqué n'avoir jamais été, jusqu'à présent, l'objet de tels propos. Son sentiment de peur a encore été exacerbé par la connaissance des précédents démêlés de l'appelant avec l'OCAS et le Dr F______. Bien que le visage de l'assuré lui fût inconnu, l'intimée s'est retournée régulièrement dans la rue pour vérifier si elle était suivie. L'effroi de la victime étant ainsi établi, il n'est pas déterminant que l'appelant se soit, dans les faits, adressé au témoin D______ alors qu'il pensait qu'il s'agissait de l'intimée, ni que les propos menaçants n'aient pas atteint directement la victime. L'appelant a pris contact avec l'OCAS et a effectivement pensé être en communication avec la gestionnaire compétente, ayant ajouté le terme de "Madame" aux initiales "E______" de l'intimée. Avant de proférer les propos litigieux, il a mentionné le décès récent du Dr F______ et prétendu s'en être pris physiquement à lui. Aussi, le but de l'appelant, à tout le moins par dol éventuel, ne pouvait être que d'effrayer la victime. En conclusion, sa culpabilité du chef d'infraction de menaces sera confirmée.</w:t>
      </w:r>
    </w:p>
    <w:p>
      <w:r>
        <w:rPr>
          <w:b/>
        </w:rPr>
        <w:t>E. 3</w:t>
      </w:r>
    </w:p>
    <w:p>
      <w:r>
        <w:t>Bien qu'il attaque le jugement dans son ensemble, l'appelant n'émet pas de critique spécifique sur la peine qui lui a été infligée. Aussi, la CPAR se limitera à relever ce qui suit. En le condamnant à une peine pécuniaire de 40 jours-amende, le Tribunal de police a correctement tenu compte de sa faute, non négligeable, et de ses circonstances personnelles. Le montant du jour-amende, arrêté à CHF 30.-, est adéquat au regard de sa situation économique, de sorte que la CPAR fait sienne la motivation du jugement de première instance sur ces points. L'octroi du sursis et la durée du délai d'épreuve de deux ans, non contestés en appel, sont acquis à l'appelant (art. 391 al. 2 CPP). Pour le surplus, il est inenvisageable de le condamner à un travail d'intérêt général vu son refus et son incapacité de travail.</w:t>
      </w:r>
    </w:p>
    <w:p>
      <w:r>
        <w:rPr>
          <w:b/>
        </w:rPr>
        <w:t>E. 4</w:t>
      </w:r>
    </w:p>
    <w:p>
      <w:r>
        <w:t>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4.2</w:t>
      </w:r>
    </w:p>
    <w:p>
      <w:r>
        <w:t>La partie plaignante ayant obtenu gain de cause en appel, vu la confirmation du verdict de culpabilité, le principe de l'indemnisation de ses dépenses obligatoires pour la procédure d'appel lui est acquis. S'agissant du quantum, le dossier, mince et sans difficulté juridique particulière, était nécessairement bien connu du conseil de la plaignante pour avoir été mandaté à un stade précoce de la procédure. Aussi, un temps de préparation pour l'audience d'appel de 2h00 est excessif et sera ramené à 45 minutes. L'audience ayant durée 50 minutes, la CPAR réduira la durée prévue de 3h00 dans la note de frais d'honoraires à 1h45, afin de prendre en compte le temps de déplacement de l'avocat à l'audience. Pour le surplus, l'activité déployée par le conseil de l'intimée est en adéquation avec la nature et la difficulté de l'affaire. Le tarif horaire indiqué sera ramené à CHF 350.-, vu le statut de collaborateur de l'avocat ayant suivi l'ensemble de la procédure d'appel. En conclusion, l'appelant sera condamné à verser à l'intimée une indemnité</w:t>
      </w:r>
    </w:p>
    <w:p>
      <w:r>
        <w:t>- 11/15 - P/1568/2014 de CHF 2'116.80, correspondant à 5h36 d'activité, TVA de 8% en CHF 156.80 comprise, pour la couverture de ses frais pour la procédure d'appel.</w:t>
      </w:r>
    </w:p>
    <w:p>
      <w:r>
        <w:rPr>
          <w:b/>
        </w:rPr>
        <w:t>E. 5</w:t>
      </w:r>
    </w:p>
    <w:p>
      <w:r>
        <w:t>L'appelant, qui succombe, supportera les frais de la procédure d'appel, qui comprennent un émolument de jugement de CHF 1'800.- (art. 428 CPP et 14 al. 1 let. e du Règlement fixant le tarif des frais en matière pénale du 22 décembre 2010 [RTFMP ; E 4 10.03]).</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pour un chef d'étude, de CHF 200.- (let. c). En cas d'assujettissement, l'équivalent de la TVA est versé en sus.</w:t>
      </w:r>
    </w:p>
    <w:p>
      <w:r>
        <w:t>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- 12/15 - P/1568/2014</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La majoration forfaitaire couvre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(AARP/304/2015 du 16 juillet 2015) ou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de brèves observations ou déterminations (AARP/326/2015 du 16 juillet 2015 ; AARP/281/2015 du 25 juin 2015 ; AARP/277/2014 du 17 juin 2014 ; AARP/131/2014 du 25 mars 2014). 6.2.4.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w:t>
      </w:r>
    </w:p>
    <w:p>
      <w:r>
        <w:t>- 13/15 - P/1568/2014 justice ou au et du bâtiment du Ministère public est donc arrêtée à CHF 50.- pour les chefs d'étude.</w:t>
      </w:r>
    </w:p>
    <w:p>
      <w:r>
        <w:rPr>
          <w:b/>
        </w:rPr>
        <w:t>E. 6.3</w:t>
      </w:r>
    </w:p>
    <w:p>
      <w:r>
        <w:t>En l'occurrence, les prestations du défenseur d'office de l'appelant consistant en la rédaction de l'annonce, respectivement de la déclaration d'appel, actes qui n'ont pas besoin d'être motivés, ne seront pas retenues, étant incluses dans la majoration forfaitaire pour activités diverses. Au surplus, l'activité exercée dans le cadre de la présente procédure est en adéquation avec la nature, l'importance et la difficulté de la cause. Aussi, l'état de frais, après les réductions qui précèdent, sera admis à concurrence de 4h50 d'activité au tarif horaire de CHF 200.-. Par conséquent, l'indemnité sera arrêtée à CHF 1'317.60, laquelle comprend également le temps de déplacement à l'audience d'appel (CHF 50.-), la majoration forfaitaire de 20% et l'équivalent de la TVA au taux de 8% en CHF 97.60. * * * * *</w:t>
      </w:r>
    </w:p>
    <w:p>
      <w:r>
        <w:t>- 14/15 - P/1568/2014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