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AARP/147/2019 vom 10. Dezember 2018</w:t>
      </w:r>
    </w:p>
    <w:p>
      <w:r>
        <w:t>GE Cour de justice, 2018-12-10, FR</w:t>
      </w:r>
    </w:p>
    <w:p>
      <w:r>
        <w:rPr>
          <w:b/>
        </w:rPr>
        <w:t xml:space="preserve">Quelle: </w:t>
      </w:r>
      <w:r>
        <w:t>https://mcp.opencaselaw.ch/entscheid/ge_gerichte_AARP_147_2019</w:t>
      </w:r>
    </w:p>
    <w:p>
      <w:r>
        <w:t>FR: GE_GERICHTE AARP/147/2019 du 10 décembre 2018</w:t>
      </w:r>
    </w:p>
    <w:p>
      <w:r>
        <w:t>IT: GE_GERICHTE AARP/147/2019 del 10 dicembre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L'art. 47 CP confère un large pouvoir d'appréciation au juge (ATF 136 IV 55 consid. 5.6 p. 61 ; arrêts du Tribunal fédéral 6B_798/2017 du 14 mars</w:t>
      </w:r>
    </w:p>
    <w:p>
      <w:r>
        <w:t>- 5/10 - P/12404/2018 2018 consid. 2.1 ; 6B_718/2017 du 17 janvier 2018 consid. 3.1 ; 6B_1428/2016 du</w:t>
      </w:r>
    </w:p>
    <w:p>
      <w:r>
        <w:rPr>
          <w:b/>
        </w:rPr>
        <w:t>E. 2.2</w:t>
      </w:r>
    </w:p>
    <w:p>
      <w:r>
        <w:t>Aux termes de l'art. 42 al. 1 CP, le juge suspend en règle générale l'exécution d'une peine privative de liberté de six mois au moins et de deux ans au plus lorsqu'une peine ferme ne paraît pas nécessaire pour détourner l'auteur d'autres crimes ou délits.</w:t>
      </w:r>
    </w:p>
    <w:p>
      <w:r>
        <w:t>Sur le plan objectif, la peine pécuniaire et la peine privative de liberté de deux ans au plus peuvent être assorties du sursis total (cf. art. 42 al. 1 CP).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w:t>
      </w:r>
    </w:p>
    <w:p>
      <w:r>
        <w:t>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Le juge doit par ailleurs motiver sa décision de manière suffisante (cf. art. 50 CP). Sa motivation doit permettre de vérifier s'il a tenu compte de tous les éléments pertinents et comment ils ont été appréciés.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consid. 2.1 p. 185 s. et les références ; ATF 134 IV 140 consid. 4.2</w:t>
      </w:r>
    </w:p>
    <w:p>
      <w:r>
        <w:t>- 6/10 - P/12404/2018 p. 143 ; arrêts du Tribunal fédéral 6B_1339/2016 du 23 mars 2017 consid. 1.1.1 ; 6B_372/2016 du 22 mars 2017 consid. 4).</w:t>
      </w:r>
    </w:p>
    <w:p>
      <w:r>
        <w:t>L'absence de récidive durant l'année précédant l'arrêt attaqué n'est pas pertinente, dès lors qu'un tel comportement correspond à ce que l'on doit pouvoir attendre de tout un chacun (arrêt du Tribunal fédéral 6B_740/2016 du 2 juin 2017 consid. 2.2 et les références).</w:t>
      </w:r>
    </w:p>
    <w:p>
      <w:r>
        <w:t>Dans le cadre du pronostic déterminant l'octroi du sursis, les antécédents pénaux ne constituent qu'un élément parmi d'autres. Ils ne l'emportent pas nécessairement sur les autres considérations pertinentes (arrêt du Tribunal fédéral 6B_569/2008 du 24 mars 2009 consid. 2.3 ; R. SCHNEIDER / R. GARRÉ, Basler Kommentar, Strafrecht I, 2e éd., 2007, n. 59 ad art. 42). Pour autant, on ne saurait en déduire qu'ils ne suffisent jamais à fonder un pronostic défavorable. Comme sous l'ancien droit (cf. ATF 98 IV 313 consid. 3 p. 313 s.), ils ne permettent certes pas à eux seuls de refuser le sursis si les peines prononcées dans les cinq ans qui précèdent l'infraction n'équivalent pas au moins à trois mois de privation de liberté au total (R. SCHNEIDER / R. GARRÉ, op. cit., n. 59 ad art. 42 CP). Mais des antécédents plus graves peuvent suffire à fonder un pronostic défavorable si le très mauvais signe qu'ils donnent n'est corrigé par aucun élément favorable, voire par aucun élément particulièrement favorable s'ils dépassent au total six mois de privation de liberté ou 180 jours-amende (art. 42 al. 2 CP).</w:t>
      </w:r>
    </w:p>
    <w:p>
      <w:r>
        <w:t>Le défaut de prise de conscience de la faute peut justifier un pronostic défavorable, car seul celui qui se repent de son acte mérite la confiance que l'on doit pouvoir accorder au condamné bénéficiant du sursis (arrêt du Tribunal fédéral 6B_276/2018 consid. 3.1). Toutefois, le seul refus de collaborer à l'instruction, respectivement le déni des infractions commises, ne permet pas de tirer des conclusions sur la prise de conscience du condamné et de motiver le refus du sursis. Le juge doit, au contraire, rechercher les raisons qui motivent ce refus puis les confronter à l'ensemble des éléments pertinents pour le pronostic (arrêts du Tribunal fédéral 6B_888/2015 du 2 mai 2016 consid. 3.3.2 et 6B_348/2014 du 19 juin 2014 consid. 2.2).</w:t>
      </w:r>
    </w:p>
    <w:p>
      <w:r>
        <w:rPr>
          <w:b/>
        </w:rPr>
        <w:t>E. 2.3</w:t>
      </w:r>
    </w:p>
    <w:p>
      <w:r>
        <w:t>En l'espèce, la faute du prévenu n'est pas négligeable. Il s'est affranchi des règles en matière de séjour en Suisse, et s'est livré à un trafic de marijuana portant sur une bonne vingtaine de sachets de cette drogue. Quand bien même il n'a pas fait appel du verdict de culpabilité, il a persisté à nier toute vente de stupéfiants, y compris en lien avec ses condamnations antérieures, jusque devant le premier juge. Sa prise de conscience est médiocre voire nulle. Sa situation personnelle, certes difficile, n'explique ni n'excuse ses actes; le prévenu s'est d'ailleurs lui-même mis dans une situation de précarité en s'obstinant à séjourner en Suisse nonobstant l'irrégularité de ce séjour; sa situation personnelle ne comporte ainsi aucun élément justifiant de faire</w:t>
      </w:r>
    </w:p>
    <w:p>
      <w:r>
        <w:t>- 7/10 - P/12404/2018 preuve d'une clémence particulière à son égard. Les infractions concourent entre elles, aggravant d'autant la peine menace (art. 49 CP).</w:t>
      </w:r>
    </w:p>
    <w:p>
      <w:r>
        <w:t>Le prévenu étant sans ressources et dépourvu de toute perspective d'obtenir un revenu régulier, seule une peine privative de liberté entre en considération (art. 41 al. 1 let. b CP). Compte tenu de l'ensemble des circonstances, de la nature de la drogue concernée et de la période pénale relativement brève, la quotité de la peine prononcée par le premier juge apparaît adéquate. L'appel sur ce point sera rejeté.</w:t>
      </w:r>
    </w:p>
    <w:p>
      <w:r>
        <w:rPr>
          <w:b/>
        </w:rPr>
        <w:t>E. 2.4</w:t>
      </w:r>
    </w:p>
    <w:p>
      <w:r>
        <w:t>Deux condamnations précédentes, assorties à chaque fois du sursis, qui ne pouvaient porter que sur des peines pécuniaires au vu de la date de leur prononcé (avant l'entrée en vigueur de la nouvelle teneur des art. 34 à 41 CP), n'ont pas dissuadé le prévenu de persévérer dans des comportements répréhensibles, ce qui constitue un élément défavorable pertinent pour l'examen du sursis (arrêt du tribunal fédéral 6B_1045/2008 du 20 mars 2009 consid. 4.4 ; ATF 100 IV 133, consid. 1d, p. 137 ; 98 IV 76 consid. 2, p. 82 ; v. également R. SCHNEIDER / R. GARRÉ, Basler Kommentar, Strafrecht I, 2e éd. 2007, n. 59 ad art. 42).</w:t>
      </w:r>
    </w:p>
    <w:p>
      <w:r>
        <w:t>Il n'est pas soutenable de retenir comme le premier juge que le prévenu n'a pas compris la portée des sursis accordés précédemment. L'un comme l'autre ont fait l'objet de décisions notifiées en personne, le premier par le MP, le second par un tribunal à l'issue d'une audience de jugement; la portée d'un sursis est systématiquement expliquée à ces occasions et le prévenu ne prétend pas que cela n'aurait pas été le cas. Il ne conteste pas avoir bénéficié, dans les deux précédentes procédures, de l'appui d'un conseil juridique, qui lui a certainement également expliqué la portée de ces décisions.</w:t>
      </w:r>
    </w:p>
    <w:p>
      <w:r>
        <w:t>A cela s'ajoute une prise de conscience quasiment inexistante, et l'absence de tout projet ou intention permettant de fonder un pronostic favorable. Au contraire, le prévenu fournit des explications de circonstance sur sa situation personnelle et son lieu de séjour qui font craindre qu'il ne persiste à braver les interdictions et à séjourner illégalement en Suisse. Il ne présente en particulier aucun projet permettant de tabler sur une quelconque réinsertion dans un pays où son séjour serait autorisé.</w:t>
      </w:r>
    </w:p>
    <w:p>
      <w:r>
        <w:t>Dans ces circonstances, au vu des deux condamnations précédentes prononcées moins d'une année avant la troisième interpellation du prévenu, la peine prononcée ne peut plus être assortie du sursis.</w:t>
      </w:r>
    </w:p>
    <w:p>
      <w:r>
        <w:rPr>
          <w:b/>
        </w:rPr>
        <w:t>E. 3</w:t>
      </w:r>
    </w:p>
    <w:p>
      <w:r>
        <w:t>Le MP obtenant partiellement gain de cause, l'intimé succombe. Il conclut certes à ce que les frais ne soient pas mis à sa charge. Cependant, il reste directement concerné par le présent appel et a conclu à son rejet.</w:t>
      </w:r>
    </w:p>
    <w:p>
      <w:r>
        <w:t>- 8/10 - P/12404/2018</w:t>
      </w:r>
    </w:p>
    <w:p>
      <w:r>
        <w:t>L'intimé sera dès lors condamné au paiement de la moitié des frais de la procédure d'appel envers l'Etat (art. 428 CPP), comprenant dans leur totalité un émolument de CHF 1'000.- (art. 14 let. e du règlement fixant le tarif des frais en matière pénale du 22 décembre 2010 [RTFMP – RS/GE E 4 10.03]).</w:t>
      </w:r>
    </w:p>
    <w:p>
      <w:r>
        <w:t>Le solde sera laissé à la charge de l'Etat.</w:t>
      </w:r>
    </w:p>
    <w:p>
      <w:r>
        <w:t>- 9/10 - P/12404/2018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