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AARP/145/2015 vom 19. März 2015</w:t>
      </w:r>
    </w:p>
    <w:p>
      <w:r>
        <w:t>GE Cour de justice, 2015-03-19, FR</w:t>
      </w:r>
    </w:p>
    <w:p>
      <w:r>
        <w:rPr>
          <w:b/>
        </w:rPr>
        <w:t xml:space="preserve">Quelle: </w:t>
      </w:r>
      <w:r>
        <w:t>https://mcp.opencaselaw.ch/entscheid/ge_gerichte_AARP_145_2015</w:t>
      </w:r>
    </w:p>
    <w:p>
      <w:r>
        <w:t>FR: GE_GERICHTE AARP/145/2015 du 19 mars 2015</w:t>
      </w:r>
    </w:p>
    <w:p>
      <w:r>
        <w:t>IT: GE_GERICHTE AARP/145/2015 del 19 marzo 2015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t>- 15/21 - P/11514/2012</w:t>
      </w:r>
    </w:p>
    <w:p>
      <w:r>
        <w:rPr>
          <w:b/>
        </w:rPr>
        <w:t>E. 2</w:t>
      </w:r>
    </w:p>
    <w:p>
      <w:r>
        <w:t>La culpabilité n'étant désormais plus contestée, il y a lieu d'en prendre acte et de constater que les actes pour lesquels l'appelant a été reconnu coupable constituent des infractions à la LStup et à la Letr auxquelles s'ajoutent des actes de blanchiment. Les éléments constitutifs de ces infractions sont réalisés.</w:t>
      </w:r>
    </w:p>
    <w:p>
      <w:r>
        <w:rPr>
          <w:b/>
        </w:rPr>
        <w:t>E. 3</w:t>
      </w:r>
    </w:p>
    <w:p>
      <w:r>
        <w:t>p. 101).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w:t>
      </w:r>
    </w:p>
    <w:p>
      <w:r>
        <w:rPr>
          <w:b/>
        </w:rPr>
        <w:t>E. 3.2</w:t>
      </w:r>
    </w:p>
    <w:p>
      <w:r>
        <w:t>En matière de trafic de stupéfiants, il y a lieu de tenir compte, plus spécialement, des circonstances suivantes (arrêts du Tribunal fédéral 6B_107/2013 du 15 mai 2013 consid.</w:t>
      </w:r>
    </w:p>
    <w:p>
      <w:r>
        <w:t>- 16/21 - P/11514/2012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w:t>
      </w:r>
    </w:p>
    <w:p>
      <w:r>
        <w:rPr>
          <w:b/>
        </w:rPr>
        <w:t>E. 3.3</w:t>
      </w:r>
    </w:p>
    <w:p>
      <w:r>
        <w:t>Lorsque l'auteur sait, ou ne peut ignorer, que l'infraction à la LStup porte sur une quantité de drogue pouvant mettre en danger la santé de nombreuses personnes (al. 2 let. a et b) - soit dès 18 g pour la cocaïne (ATF 138 IV 100 consid. 3.2 p. 103 ; arrêt du Tribunal fédéral 6B_107/2013 du 15 mai 2013 consid. 2.1.1) -, la peine privative de liberté est d'un an au moins et de 20 ans au plus (art. 40 CP).</w:t>
      </w:r>
    </w:p>
    <w:p>
      <w:r>
        <w:rPr>
          <w:b/>
        </w:rPr>
        <w:t>E. 3.4</w:t>
      </w:r>
    </w:p>
    <w:p>
      <w:r>
        <w:t>Dans l'exercice de son pouvoir d'appréciation, le juge doit respecter, en particulier, le principe d'égalité de traitement (art. 8 al. 1 Cst.)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w:t>
      </w:r>
    </w:p>
    <w:p>
      <w:r>
        <w:rPr>
          <w:b/>
        </w:rPr>
        <w:t>E. 3.5</w:t>
      </w:r>
    </w:p>
    <w:p>
      <w:r>
        <w:t>Plusieurs indices permettent de retenir que le rôle de l'appelant dans le trafic de stupéfiants orchestré par N______ est supérieur à celui qu'il allègue. Si on met de côté les transporteuses G______ et D______, liées affectivement au précité et qui ne disposaient d'aucune autonomie, l'appelant était celui qui avait des contacts directs avec son cousin, et pas uniquement en raison de ses liens de parenté. Il était le maillon nécessaire entre les gains réalisés sur le terrain, directement ou par le biais de tiers, et N______ auquel il remettait l'argent issu du trafic. L'appelant était le récipiendaire exclusif des rentrées d'argent générées par les activités de son amie et de E______ quand il résidait en Espagne et dont il coordonnait l'entier des activités, selon la teneur de conversations avec E______ versées au dossier. Il était le répondant des personnes actives sur le terrain, sans compter que l'appelant a aussi été le récipiendaire, notamment par l'intermédiaire de F______, de la drogue fournie par D______ et/ou G______, comme ces dernières l'ont confirmé. L'intensité des déplacements à Zurich de F______,</w:t>
      </w:r>
    </w:p>
    <w:p>
      <w:r>
        <w:t>- 17/21 - P/11514/2012 comme en atteste l'activation des bornes par son téléphone portable, témoigne du rôle actif tenu par l'appelant. Son rôle était en fait double, selon qu'il l'exerçait en Suisse ou en Espagne. Dans notre pays, il exerçait une activité de vendeur de rue qui n'était pas négligeable. Il n'a d'ailleurs pas hésité à reprendre son commerce dès son retour sur sol helvétique après qu'il avait instruit E______ de le remplacer durant son absence. En Espagne, il occupait un rang plus élevé dans la hiérarchie où il coordonnait les activités liées au trafic des deux personnes auprès desquelles il récupérait l'argent illicitement obtenu. Il n'avait de comptes à rendre qu'à son cousin, jouissant de la sorte d'une certaine autonomie de décision. L'appelant s'est aussi rendu coupable de blanchiment d'argent, ce qui témoigne de la diversité de son implication dans le trafic de stupéfiants qui lui est reproché. Les autres acteurs impliqués dans le trafic avaient des rôles secondaires, qu'ils soient transporteuses (G______, D______ et F______) ou au service de l'appelant (E______). Même si les quantités transportées par les intimées G______ et D______ sont plus importantes, leur rôle subalterne et dépourvu de toute autonomie justifie une moindre peine, sans compter une circonstance atténuante retenue pour l'intimée D______. Les périodes pénales ne sont pas comparables non plus, les transporteuses ayant agi sur un intervalle de sept ou huit mois contre une période pénale de plus du double pour l'appelant. Le rôle de E______ était aussi subalterne, comme remplaçant de l'appelant dans les ventes de rue, avec une période pénale réduite à six mois et des quantités de stupéfiants retenues inférieures à 600 g. Le seul qui ait une situation relativement comparable à l'appelant est C______, avec lequel l'appelant partageait l'autonomie de son activité. Si celui-là se ravitaillait également auprès de N______, les quantités en jeu sont bien moindres (un peu plus que la moitié pour ce qui est quantifiable). Il y a en sus une différence significative entre ces deux acteurs puisque l'intimé C______ ne faisait que se fournir chez N______, sans participer au trafic dont celui-ci était l'organisateur et l'appelant l'interlocuteur direct. Le fait que l'intimé C______ ait été actif dans un trafic indépendant ne permet pas de qualifier sa faute d'une manière similaire, sans compter qu'il était lui-même consommateur et atteint dans sa santé. Les éléments à décharge dont l'appelant peut se prévaloir sont une collaboration correcte et une prise de conscience qui apparait, selon les pièces versées devant le Tribunal correctionnel et plaidées en appel, supérieure à la moyenne, étant rappelé que l'absence d'antécédents n'a pas d'effets sur la peine. Il reste que ces éléments favorables ne permettent pas de conclure au prononcé d'une peine qui soit compatible avec un sursis partiel. La comparaison avec les autres peines infligées par l'autorité de jugement n'autorise pas une autre conclusion, sans compter que toute comparaison est délicate au</w:t>
      </w:r>
    </w:p>
    <w:p>
      <w:r>
        <w:t>- 18/21 - P/11514/2012 regard de l'individualisation de chaque peine. Au demeurant, la quotité de la peine est conforme aux critères de l'art. 47 CP, étant précisé que le concours d'infractions fonde une aggravation de la peine. Au regard de ces différents motifs, l'appel d'A______ doit être rejeté.</w:t>
      </w:r>
    </w:p>
    <w:p>
      <w:r>
        <w:rPr>
          <w:b/>
        </w:rPr>
        <w:t>E. 4</w:t>
      </w:r>
    </w:p>
    <w:p>
      <w:r>
        <w:t>L'appelant, qui succombe, supportera les frais de la procédure envers l'État (art. 428 CPP), qui comprennent une indemnité de procédure de CHF 2'500.- (art. 14 al. 1 let. e du règlement fixant le tarif des frais en matière pénale [RTFMP ; E 4 10.03]). .</w:t>
      </w:r>
    </w:p>
    <w:p>
      <w:r>
        <w:rPr>
          <w:b/>
        </w:rPr>
        <w:t>E. 5.1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Selon l'art. 16 al. 1 RAJ, l'indemnité due à l'avocat et au défenseur d'office en matière pénale est calculée selon le tarif horaire de CHF 200.- pour un chef d'étude (let. c). La TVA est versée en sus.</w:t>
      </w:r>
    </w:p>
    <w:p>
      <w:r>
        <w:rPr>
          <w:b/>
        </w:rPr>
        <w:t>E. 5.2</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w:t>
      </w:r>
    </w:p>
    <w:p>
      <w:r>
        <w:t>- 19/21 - P/11514/2012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5.3</w:t>
      </w:r>
    </w:p>
    <w:p>
      <w:r>
        <w:t>Ne sera pas considérée comme nécessaire l'activité de 45 minutes consacrée à l'étude du jugement, laquelle fait partie du forfait "courrier/téléphones". L'activité déployée en appel par la défense d'office de l'appelant couverte par l'assistance juridique doit au surplus être tenue pour conforme à la nature, l'importance et la difficulté de la cause. Par conséquent, l'état de frais du conseil de A______ sera admis, après la réduction qui précède, à hauteur de 8h15 d'activité à CHF 200.-. La rémunération de base sera ainsi fixée à CHF 1'650.- à laquelle s'ajoute le forfait par 10%, l'activité pour toute la procédure dépassant les 30 heures au regard de l'ampleur du dossier. L'indemnité totale couvrant la défense devant la juridiction d'appel, TVA par CHF 105.60 comprise, est donc de CHF 1'960.20. * * * * *</w:t>
      </w:r>
    </w:p>
    <w:p>
      <w:r>
        <w:t>- 20/21 - P/11514/2012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