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AARP/144/2023 vom 20. April 2023</w:t>
      </w:r>
    </w:p>
    <w:p>
      <w:r>
        <w:t>GE Cour de justice, 2023-04-20, FR</w:t>
      </w:r>
    </w:p>
    <w:p>
      <w:r>
        <w:rPr>
          <w:b/>
        </w:rPr>
        <w:t xml:space="preserve">Quelle: </w:t>
      </w:r>
      <w:r>
        <w:t>https://mcp.opencaselaw.ch/entscheid/ge_gerichte_AARP_144_2023</w:t>
      </w:r>
    </w:p>
    <w:p>
      <w:r>
        <w:t>FR: GE_GERICHTE AARP/144/2023 du 20 avril 2023</w:t>
      </w:r>
    </w:p>
    <w:p>
      <w:r>
        <w:t>IT: GE_GERICHTE AARP/144/2023 del 20 aprile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L'art. 9 CPP dispose qu'une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t>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 arrêt du Tribunal fédéral 6B_665/2017 du 10 janvier 2018 consid. 1.1). Des imprécisions relatives au lieu ou à la date sont sans portée, dans la mesure où le prévenu ne peut avoir de doute sur le comportement qui lui est reproché (arrêts du Tribunal fédéral 6B_696/2019 du 24 septembre 2019 consid. 1.2.1 ; 6B_275/2016 du 9 décembre 2016 consid. 2.1).</w:t>
      </w:r>
    </w:p>
    <w:p>
      <w:r>
        <w:t>2.1.2. En l'espèce, les faits retenus dans l'ordonnance pénale du 15 novembre 2021, valant acte d'accusation, décrivent que l'appelant a utilisé les fonds présents sur le compte de l'association pour financer l'achat de matériel de musique, destiné à son</w:t>
      </w:r>
    </w:p>
    <w:p>
      <w:r>
        <w:t>- 11/17 - P/21276/2018 usage propre, s'enrichissant ainsi illégitimement, avec la précision qu'il avait ainsi détourné un montant de CHF 21'260.85 et EUR 6'111.-.</w:t>
      </w:r>
    </w:p>
    <w:p>
      <w:r>
        <w:t>Avec l'appelant, il faut constater que ces faits n'ont pas été retenus par le premier juge en lien avec le chef d'accusation d'abus de confiance, le jugement querellé retenant que l'appelant a acquis le matériel de musique avec l'objectif d'en faire profiter l'association, agissant dans le cadre de ses activités en tant qu'organe de D______. Quant aux faits retenus par le TP pour fonder la culpabilité de gestion déloyale, il est exact que l'achat d'un ordinateur pour un dommage de CHF 1'076.10, les frais de transport et de stockage pour un dommage de EUR 6'111.84, la facture d'impression et de reliure pour CHF 868.- de même que celle de EUR 2'410.- pour la réalisation de la brochure en octobre 2017, ainsi que l'achat de meubles à hauteur de CHF 5'701.15 ne sont pas décrits dans les faits reprochés à l'appelant (ch. 1 de l'ordonnance pénale). L'appelant ne peut partant être condamné en lien avec ces faits. Pour ces mêmes motifs, il ne peut pas l'être non plus pour les éventuels loyers payés, tout ou partie, avec les fonds reçus. Faute d'appel joint du Ministère public, d'une part, et en l'absence d'une possible requalification juridique des faits, d'autre part, la culpabilité de l'appelant ne sera examinée qu'à l'aune de ce qui a été retenu dans l'acte d'accusation, la Cour étant liée par le contenu de celui-ci. 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- 12/17 - P/21276/2018 doutes sérieux et irréductibles, c'est-à-dire de doutes qui s'imposent à l'esprit en fonction de la situation objective (ibidem). 3.1.2. L'art. 158 ch. 1 al. 1 CP punit pour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L'art. 158 CP suppose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 6B_412/2016 du 10 février 2017 consid.</w:t>
      </w:r>
    </w:p>
    <w:p>
      <w:r>
        <w:rPr>
          <w:b/>
        </w:rPr>
        <w:t>E. 2.1</w:t>
      </w:r>
    </w:p>
    <w:p>
      <w:r>
        <w:t>in fine). 3.1.3. Revêt la qualité de gérant la personne à qui incombe, de fait ou formellement, la responsabilité d'administrer un complexe patrimonial non négligeable dans l'intérêt d'autrui (ATF 129 IV 124 consid. 3.1 p. 126 ; ATF 123 IV 17 consid. 3b p. 21 ; arrêt du Tribunal fédéral 6B_830/2011 du 9 octobre 2012 consid. 2.1). 3.1.4. Pour qu'il y ait gestion déloyale, il ne suffit pas que l'auteur ait été gérant, ni qu'il ait violé une quelconque obligation de nature pécuniaire à l'endroit de la personne dont il gère tout ou partie du patrimoine. L'obligation violée doit être liée à la gestion confiée. Le comportement délictueux consiste à violer le devoir de gestion ou de sauvegarde (ATF 123 IV 17 consid. 3c ; ATF 120 IV 190 consid. 2b ; ATF 105 IV 307 consid. 3).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 6B_412/2016 du 10 février 2017 consid. 2.3 ; 6B_845/2014 du 16 mars 2015 consid. 3.2 ; 6B_967/2013 du 21 février 2014 consid. 3.2). Dans le cadre d'une association, la direction a le droit et le devoir de gérer les affaires de l'association et de la représenter en conformité des statuts (art. 69 du Code civil [CC]). Chaque membre de la direction, en tant qu'organe de l'association, répond envers elle du dommage qu'il lui aura causé, en application de l'art. 398 du code des</w:t>
      </w:r>
    </w:p>
    <w:p>
      <w:r>
        <w:t>- 13/17 - P/21276/2018 obligations (CO) (P. PICHONNAZ / B. FOEX (éds.), Commentaire romand, Code civil I, Bâle 2010, N. 46 ad art. 69 CC). 3.1.5. L'infraction de gestion déloyale n'est consommée que s'il y a eu un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 ATF 123 IV 17 consid. 3d ; ATF 122 IV 279 consid. 2a ; ATF 121 IV 104 consid. 2c ; arrêt du Tribunal fédéral 6B_845/2014 du 16 mars 2015 consid. 3.3). Un dommage temporaire ou provisoire est suffisant (ATF 122 IV 279 consid. 2a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3.1.6. Sur le plan subjectif, l'infraction est intentionnelle, la conscience et la volonté de l'auteur devant englober la qualité de gérant, la violation du devoir de gestion et le dommage (ATF 129 IV 124 consid. 3.1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 ; arrêts du Tribunal fédéral 6B_787/2016 du 2 mai 2017 consid. 2.5 ; 6B_412/2016 du 10 février 2017 consid. 2.5).</w:t>
      </w:r>
    </w:p>
    <w:p>
      <w:r>
        <w:t>3.2. En l'espèce, il est établi et non spécifiquement contesté qu'en tant que président de l'association, l'appelant bénéficiait d'un droit de signature individuelle sur le compte de l'association, de sorte qu'il avait un pouvoir de disposition autonome sur les biens administrés et un devoir de gestion, ou à tout le moins de sauvegarde, des intérêts pécuniaires de l'association, fondant une qualité de gérant. En cette qualité, il lui incombait de veiller à la sauvegarde des intérêts pécuniaires de l’association. Les statuts de l'association suisse sont peu précis quant à ses buts. En effet, ceux-ci visent de manière toute générale le soutien et l'aide des enfants et habitants des favelas par le biais d'activité sportives, culturelles, éducatives et artistiques. Aucune autre instruction écrite sur la manière de mener les projets de l'association ou cahier des charges ne ressort de la procédure. Seuls figurent ainsi les objectifs mentionnés dans les courriers de communes ayant versé des subventions. Celles-ci peuvent être qualifiées de donations avec charge au sens de l'art. 245 CO ; cependant, aucune violation d'un devoir de gestion ne peut être imputé à l'appelant à ce titre, en raison du contenu lacunaire de la mise en accusation. Faute d'appel joint du Ministère public, la question de l'abus des biens sociaux ne peut pas non plus être examinée.</w:t>
      </w:r>
    </w:p>
    <w:p>
      <w:r>
        <w:t>- 14/17 - P/21276/2018 Cela étant, la Cour relève que, bien que la brochure de présentation consacre tout un programme détaillé pour le financement des activités sportives et de la bibliothèque, l'objectif du développement musical est clairement évoqué dans la rubrique des actions entreprises et ce projet était également connu de plusieurs membres de l'association. Si l'association genevoise a effectivement repris le nom de l'association brésilienne, elle n'était pas vouée, aux termes de ses statuts, à financer spécifiquement et exclusivement le programme existant au Brésil. Aucun lien juridique ne les liait au demeurant. Au vu de ces éléments et après longues délibérations, la Cour retiendra que l'achat du matériel de musique, en vue de la création d'un studio pour les enfants de l'association brésilienne, entrait dans le large but statutaire de l'association genevoise, de sorte que l'appelant n'a pas violé son devoir de gestion ni lésé les intérêts de celle-ci de ce fait. Ce projet était par ailleurs compatible avec la mission de l'association brésilienne. Reste à déterminer si l'appelant a acheté le matériel de musique avec les fonds de l'association pour se l'approprier, causant de la sorte un préjudice. Selon les déclarations de l'appelant, le matériel de musique se trouverait – ainsi que ses propres affaires en donation – dans un container entreposé au port de Q______ [Brésil]. Selon l'attestation du transporteur O______, l'expédition était bien libellée au nom d'un membre de l'association brésilienne. Dans la mesure où personne n'est allé retirer ledit container, il n'est pas possible de déterminer avec certitude s'il contenait bel et bien le matériel litigieux. Cependant, comme l'a constaté à juste titre le premier juge, aussitôt acquis, le matériel aurait été rapidement entreposé auprès du transporteur avant d'être finalement expédié en faveur de l'association près d'un an plus tard. Bien que les raisons relatives à ce long délai d'exécution restent peu compréhensibles, la Cour relève qu'il ne ressort de la procédure aucun indice concret permettant de retenir que l'appelant avait l'intention de s'approprier le matériel, que ce soit lorsqu'il était entreposé à V______ [France] ou une fois livré au Brésil. Rien n'indique non plus que l'appelant l'aurait utilisé à son propre profit entre-temps. Par ailleurs, la théorie selon laquelle la valeur réelle des biens matériels figurant sur la liste de colisage a été volontairement réduite pour limiter les frais de douane est plausible, d'une part, et compatible avec le nombre et le poids conséquent des cartons entreposés, d'autre part. Aussi, en vertu du principe in dubio pro reo, il sera tenu pour établi que l'achat a bien été fait dans le but d'en faire profiter à l'association brésilienne dans la droite ligne du projet genevois. Dans cette mesure, aucun préjudice tel que libellé dans l'ordonnance pénale ne peut être retenu. Comme précédemment retenu, l'appelant a eu l'intention d'ajouter son apport personnel au projet brésilien, en développant un pôle musical pour les enfants de [l'association] D______, programme qui était connu de plusieurs personnes. Enfin, la dissolution de l'association ne peut lui être imputée, s'agissant d'une initiative de C______, laquelle souhaitait en sortir bien avant l'ouverture de la présente procédure de surcroît. Au vu de ce qui précède, l'appelant sera acquitté du chef de gestion déloyale et le jugement entrepris réformé dans ce sens.</w:t>
      </w:r>
    </w:p>
    <w:p>
      <w:r>
        <w:t>- 15/17 - P/21276/2018</w:t>
      </w:r>
    </w:p>
    <w:p>
      <w:r>
        <w:rPr>
          <w:b/>
        </w:rPr>
        <w:t>E. 4</w:t>
      </w:r>
    </w:p>
    <w:p>
      <w:r>
        <w:t>En définitive, l'appelant obtient entièrement gain de cause en appel, de sorte que tous les frais de la procédure préliminaire et de première instance ainsi que ceux de la procédure d'appel seront laissés à la charge de l'État (art. 428 CPP).</w:t>
      </w:r>
    </w:p>
    <w:p>
      <w:r>
        <w:rPr>
          <w:b/>
        </w:rPr>
        <w:t>E. 5.1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De manière constante, le Tribunal fédéral a ainsi retenu que l'indemnité équitable, pour un avocat, devait au minimum être de CHF 180.- par heure en moyenne suisse, des situations particulières dans les cantons pouvant justifier un</w:t>
      </w:r>
    </w:p>
    <w:p>
      <w:r>
        <w:t>- 16/17 - P/21276/2018 montant plus haut ou plus bas (ATF 141 IV 124 consid. 3.2 p. 127 ; 137 III 185 consid. 5.1et 5.4 p. 191 ; 132 I 201 consid. 8). Dans un arrêt 2C_725/2010 du 31 octobre 2011 consid. 2, le Tribunal fédéral a indiqué que l'on pouvait tout au plus inférer de la cherté notoire de la vie à Genève que l'indemnité horaire pour un conseil d'office prévue par la législation cantonale genevoise à hauteur de CHF 200.- constituait un minimum si l'on tenait compte du montant de CHF 180.- précité et de l'augmentation des prix intervenue depuis 2006, année durant laquelle ce montant a été pour la première fois arrêté.</w:t>
      </w:r>
    </w:p>
    <w:p>
      <w:r>
        <w:rPr>
          <w:b/>
        </w:rPr>
        <w:t>E. 5.4</w:t>
      </w:r>
    </w:p>
    <w:p>
      <w:r>
        <w:t>Considéré globalement, l'état de frais produit par Me B______, défenseur d'office de A______, satisfait les exigences légales et jurisprudentielles régissant l'assistance judiciaire gratuite en matière pénale, sous réserve de 65 minutes qui seront retranchées s'agissant des postes "examen du dossier et conférence interne avec collaborateur", "examen dossier – jugement" et "examen dossier/déclaration d'appel", ces actes étant déjà couverts par le forfait, d'une part, et l'AJ n'ayant pas pour vocation d'indemniser les conférences internes, d'autre part.</w:t>
      </w:r>
    </w:p>
    <w:p>
      <w:r>
        <w:t>Le tarif horaire qui sera appliqué est celui de l'assistance juridique. L'appelant, se bornant à citer d'anciennes jurisprudences antérieures à l'entrée en vigueur du nouveau tarif de l'assistance juridique, n'avance pas de motif permettant de s'en écarter. Par ailleurs, il se borne à alléguer que l'activité du stagiaire – laquelle devrait être inférieure de 30 à 40% à celle d'un avocat breveté – doit être rémunérée au tarif minimal de CHF 180.- l'heure, alors qu'à teneur de la jurisprudence citée, il s'agit précisément du tarif minimum pour un avocat breveté.</w:t>
      </w:r>
    </w:p>
    <w:p>
      <w:r>
        <w:t>La rémunération de Me B______ sera partant arrêtée à CHF 1'199.50, soit CHF 1'012.50 correspondant à six heures et 45 minutes d'activité de collaborateur au tarif de CHF 150.-/heure, plus la majoration forfaitaire de 10% en CHF 101.25 et l'équivalent de la TVA au taux de 7.7% en CHF 85.75. * * * * *</w:t>
      </w:r>
    </w:p>
    <w:p>
      <w:r>
        <w:t>- 17/17 - P/21276/2018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