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AARP/142/2026 vom 29. April 2026</w:t>
      </w:r>
    </w:p>
    <w:p>
      <w:r>
        <w:t>GE Cour de justice, 2026-04-29, FR</w:t>
      </w:r>
    </w:p>
    <w:p>
      <w:r>
        <w:rPr>
          <w:b/>
        </w:rPr>
        <w:t xml:space="preserve">Quelle: </w:t>
      </w:r>
      <w:r>
        <w:t>https://mcp.opencaselaw.ch/entscheid/ge_gerichte_AARP_142_2026</w:t>
      </w:r>
    </w:p>
    <w:p>
      <w:r>
        <w:t>FR: GE_GERICHTE AARP/142/2026 du 29 avril 2026</w:t>
      </w:r>
    </w:p>
    <w:p>
      <w:r>
        <w:t>IT: GE_GERICHTE AARP/142/2026 del 29 aprile 2026</w:t>
      </w:r>
    </w:p>
    <w:p>
      <w:pPr>
        <w:pStyle w:val="Heading2"/>
      </w:pPr>
      <w:r>
        <w:t>Erwägungen</w:t>
      </w:r>
    </w:p>
    <w:p>
      <w:r>
        <w:rPr>
          <w:b/>
        </w:rPr>
        <w:t>E. 1.1</w:t>
      </w:r>
    </w:p>
    <w:p>
      <w:r>
        <w:t>L'art. 403 al.1 CPP prévoit qu'une décision écrite sur la recevabilité de l'appel doit être rendue lorsque la direction de la procédure ou une partie invoque l'un des moyens prévus par l'art. 403 al. 1 let. a à c CPP.</w:t>
      </w:r>
    </w:p>
    <w:p>
      <w:r>
        <w:rPr>
          <w:b/>
        </w:rPr>
        <w:t>E. 1.2</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Par son objet, l'appel joint n'est pas lié à l'appel principal, conformément à ce que prévoit l'art. 401 al. 2 CPP, sauf si celui-ci porte exclusivement sur les conclusions civiles (art. 401 al. 2 in fine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(ATF 140 IV 92 consid. 2.3). Conformément à l'art. 401 al. 2 CPP, lorsque le prévenu conteste la peine infligée par rapport à des infractions concernant la partie plaignante, celle-ci est habilitée à former un appel joint sur d'autres aspects du jugement attaqué, en particulier les conclusions civiles (ATF 142 IV 234 consid. 1.2). Les limites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Autrement dit, l'appel joint n'est pas dépendant des griefs</w:t>
      </w:r>
    </w:p>
    <w:p>
      <w:r>
        <w:t>- 6/7 - P/28819/2024 soulevés dans l'appel principal (arrêt du Tribunal fédéral 6B_6/2019 du 22 février 2019 consid. 1.1).</w:t>
      </w:r>
    </w:p>
    <w:p>
      <w:r>
        <w:rPr>
          <w:b/>
        </w:rPr>
        <w:t>E. 2</w:t>
      </w:r>
    </w:p>
    <w:p>
      <w:r>
        <w:t>En l’espèce, l’appelant principal ne conteste pas le verdict de culpabilité de lésions corporelles graves, son appel ne portant que sur les conclusions civiles découlant de l’infraction considérée. La limitation prévue à l’art. 401 al. 2 in fine CPP s’applique donc pleinement, de sorte que l’appel joint est limité aux conclusions civiles.</w:t>
      </w:r>
    </w:p>
    <w:p>
      <w:r>
        <w:t>L’argument du caractère « mixte » de l’appel principal plaidé par C______ est vain : en effet, si l’appel joint n’est en principe pas dépendant des griefs soulevés à titre principal, il l’est précisément lorsqu’il porte exclusivement sur les conclusions civiles (ndr : émises au regard de l’infraction en cause). Et peu importe si, comme la CPAR a eu l’occasion de le dire (AARP/130/2020, AARP/68/2021), la limitation de l’appel joint, lorsque l’appel principal ne porte que sur des conclusions civiles, prive le prévenu intimé de la possibilité de remettre en cause le fondement même de la prétention civile objet de l’appel, ce qui pourrait sembler une atteinte à ses droits, et amène un déséquilibre dans l’accès à l’appel pour les parties. La remise en cause par l’appelant principal de la peine fixée pour une infraction à la LStup et l’exemption de peine liée à une infraction à la LEI, toutes deux ne concernant pas C______, n’a pas plus pour conséquence d’autoriser ce dernier à débattre, dans un appel joint, eu égard au cercle des personnes considérées, d’autres points découlant de l’infraction de lésions corporelles graves à l’instar de la peine (cf. sursis) et de l’expulsion prononcée à son endroit, vu la limitation légale susmentionnée. Si C______ avait voulu les discuter, il lui appartenait de former un appel principal. Son appel joint ne pourra donc prospérer qu’en ce qui a trait à la contestation du tort moral alloué à A______.</w:t>
      </w:r>
    </w:p>
    <w:p>
      <w:r>
        <w:rPr>
          <w:b/>
        </w:rPr>
        <w:t>E. 3</w:t>
      </w:r>
    </w:p>
    <w:p>
      <w:r>
        <w:t>La présente décision, qui ne met pas un terme à la procédure d’appel, sera rendue sans frais.</w:t>
      </w:r>
    </w:p>
    <w:p>
      <w:r>
        <w:rPr>
          <w:b/>
        </w:rPr>
        <w:t>E. 4</w:t>
      </w:r>
    </w:p>
    <w:p>
      <w:r>
        <w:t>A______ et C______ plaidant tous deux au bénéfice de l’assistance judiciaire, les diligences de leurs défenseurs d’office feront l’objet d’une taxation dans le cadre de l’arrêt au fond. * * * * *</w:t>
      </w:r>
    </w:p>
    <w:p>
      <w:r>
        <w:t>- 7/7 - P/28819/2024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