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AARP/142/2020 vom 20. April 2020</w:t>
      </w:r>
    </w:p>
    <w:p>
      <w:r>
        <w:t>GE Cour de justice, 2020-04-20, FR</w:t>
      </w:r>
    </w:p>
    <w:p>
      <w:r>
        <w:rPr>
          <w:b/>
        </w:rPr>
        <w:t xml:space="preserve">Quelle: </w:t>
      </w:r>
      <w:r>
        <w:t>https://mcp.opencaselaw.ch/entscheid/ge_gerichte_AARP_142_2020</w:t>
      </w:r>
    </w:p>
    <w:p>
      <w:r>
        <w:t>FR: GE_GERICHTE AARP/142/2020 du 20 avril 2020</w:t>
      </w:r>
    </w:p>
    <w:p>
      <w:r>
        <w:t>IT: GE_GERICHTE AARP/142/2020 del 20 aprile 2020</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t>- 4/8 - P/15904/2019</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Conformément à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qu'un nouveau jugement soit rendu. En règle générale, il appartient à la juridiction d'appel de corriger les erreurs commises par le tribunal de première instance dans l'établissement des faits et l'application du droit (art. 408 CPP). Eu égard au caractère réformateur de la procédure d'appel, la cassation doit rester l'exception. L'art. 409 CPP s'applique lorsque les erreurs affectant la procédure ou le jugement de première instance sont si graves - et ne peuvent être corrigées - que le renvoi au juge de première instance est la seule solution pour respecter les droits des parties, principalement pour éviter la perte d'une instance (ATF 143 IV 408 consid. 6.1 p. 412 s). Il n'en va guère ainsi qu'en cas de déni des droits de participation à la procédure, de violation crasse des droits de la défense, lorsque l'autorité de jugement n'est pas valablement constituée</w:t>
      </w:r>
    </w:p>
    <w:p>
      <w:r>
        <w:t>- 5/8 - P/15904/2019 ou encore si tous les points de l'acte d'accusation ou toutes les conclusions civiles n'ont pas été tranchés (ATF 143 IV 408 consid. 6.1 p. 412 s. ; arrêt du Tribunal fédéral 6B_461/2018 du 24 janvier 2019 consid. 4.1). Lorsque l'administration des preuves est incomplète, il appartient à la juridiction d'appel de procéder à l'administration de nouvelles preuves ou de compléter les preuves administrées de manière insuffisante (art. 389 CPP). Il n'existe pas de droit à ce que le tribunal de première instance discute tous les aspects juridiques et factuels, qui apparaissent devant la juridiction d'appel et qui seront traités dans son jugement. Ce n'est que si l'administration des preuves en première instance a été inexistante ou quasi inexistante et que le condamné n'a pas pu bénéficier de débats réguliers de première instance que la juridiction d'appel devra casser le jugement de première instance et renvoyer la cause à l'autorité précédente (arrêt du Tribunal fédéral 6B_1269/2017 du 16 janvier 2019 consid. 1.4).</w:t>
      </w:r>
    </w:p>
    <w:p>
      <w:r>
        <w:t>2.2.1.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p. 348 s.).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consid. 2.2.3.3 p. 351 s.).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w:t>
      </w:r>
    </w:p>
    <w:p>
      <w:r>
        <w:t>- 6/8 - P/15904/2019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ATF 144 IV 345 consid. 2.2.3.3 p. 351). 2.2.2.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2.4</w:t>
      </w:r>
    </w:p>
    <w:p>
      <w:r>
        <w:t>Il résulte de ce qui précède que le dossier n’est pas en état d’être jugé avant qu’il ne soit procédé à l’audition de la gendarme ayant rédigé le rapport de contravention. Dès lors qu’en matière contraventionnelle, les preuves nouvelles ne sont pas admissibles en appel, il faut constater que la procédure de première instance est affectée d’un vice grave, auquel seul le premier juge peut remédier. Le jugement entrepris est partant annulé et la cause renvoyée au TP afin qu’il procède, dans le sens des considérants. 3. Les frais de la procédure d'appel sont laissés à charge de l'Etat (art. 428 al. 4 CPP).</w:t>
      </w:r>
    </w:p>
    <w:p>
      <w:r>
        <w:t>* * * * *</w:t>
      </w:r>
    </w:p>
    <w:p>
      <w:r>
        <w:t>- 8/8 - P/15904/2019</w:t>
      </w:r>
    </w:p>
    <w:p>
      <w:r>
        <w:rPr>
          <w:b/>
        </w:rPr>
        <w:t>E. 5</w:t>
      </w:r>
    </w:p>
    <w:p>
      <w:r>
        <w:t>juillet 2017 consid. 5.1). 2.3.1. En l’occurrence, la conclusion du premier juge selon laquelle la version de l’intimé n’était, à y regarder de plus près, pas irréconciliable avec celle résultant du rapport de police en ce qui concerne le reproche d’avoir remonté une file à l’arrêt est insoutenable. Il n’y a en effet aucun rapprochement possible entre le fait de circuler le long d’une colonne de voitures à l’arrêt et celle de se déplacer sur un passage piéton pour cesser d’y empiéter, sauf éventuellement à retenir qu’un ou plusieurs véhicule(s) étai(en)t aussi sur le passage piéton, ce qui ne résulte d’aucun élément du dossier. De surcroit, le premier juge a également considéré à tort qu’il n’y avait pas eu de variation dans la position de l’intimé, celui-ci ayant concédé dans son opposition à l’ordonnance pénale qu’il n’était pas resté à sa place dans la file de véhicules arrêtés et avait avancé, mais sans franchir la double ligne de sécurité, car l’espace était suffisant (ce qui parait bien correspondre à une remontée d’une colonne de voitures), puis affirmé lors des débats de première instance qu’il s’était uniquement déplacé sur le passage piéton afin de le libérer.</w:t>
      </w:r>
    </w:p>
    <w:p>
      <w:r>
        <w:t>- 7/8 - P/15904/2019 En retenant que l’on pouvait déduire du rapport de contravention que l’intimé s’était uniquement déplacé sur le passage piéton comme celui-ci l’affirmait avec constance, le TP s’est donc livré à une appréciation des preuves doublement arbitraire.</w:t>
      </w:r>
    </w:p>
    <w:p>
      <w:r>
        <w:t>2.3.2. Le premier juge a en revanche correctement retenu que rapport de contravention et position de l’intimé étaient contradictoires s’agissant du franchissement de la double ligne, mais il aurait dès lors dû instruire davantage la question, en ordonnant d’office l’audition de l’auteure du rapport (voire de ses collègues également présents), afin de se forger une opinion sur la crédibilité de ses (leurs) dires par opposition à ceux du prévenu, plutôt que de se fonder sur ceux-ci. Il aurait dû d’autant plus s’interroger que le rapport mentionnait que lors du contrôle, l’intimé avait reconnu les faits et que lors des débats, il avait concédé avoir franchi la double ligne de sécurité, mais uniquement pour obéir à l’injonction des gendarmes, élément qu’il n’avait nullement évoqué dans son 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