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AARP/141/2020 vom 16. April 2020</w:t>
      </w:r>
    </w:p>
    <w:p>
      <w:r>
        <w:t>GE Cour de justice, 2020-04-16, FR</w:t>
      </w:r>
    </w:p>
    <w:p>
      <w:r>
        <w:rPr>
          <w:b/>
        </w:rPr>
        <w:t xml:space="preserve">Quelle: </w:t>
      </w:r>
      <w:r>
        <w:t>https://mcp.opencaselaw.ch/entscheid/ge_gerichte_AARP_141_2020</w:t>
      </w:r>
    </w:p>
    <w:p>
      <w:r>
        <w:t>FR: GE_GERICHTE AARP/141/2020 du 16 avril 2020</w:t>
      </w:r>
    </w:p>
    <w:p>
      <w:r>
        <w:t>IT: GE_GERICHTE AARP/141/2020 del 16 aprile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tribunal apprécie librement les preuves recueillies selon l'intime conviction qu'il retire de l'ensemble de la procédure (art. 10 al. 2 CPP).</w:t>
      </w:r>
    </w:p>
    <w:p>
      <w:r>
        <w:t>Lorsque subsistent des doutes insurmontables quant aux éléments factuels justifiant une condamnation, le tribunal se fonde sur l'état de fait le plus favorable au prévenu (art. 10 al. 3 CPP).</w:t>
      </w:r>
    </w:p>
    <w:p>
      <w:r>
        <w:t>Cette disposition consacre le principe constitutionnel de la présomption d'innocence (in dubio pro reo ; art. 32 al. 1 de la Constitution fédérale de la Confédération suisse du 18 avril 1999 [Cst. - RS 101] et art. 6 par. 2 de la Convention de sauvegarde des droits de l'homme et des libertés fondamentales du 4 novembre 1950 [CEDH - RS 0.101]) qui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t>2.2.1.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ATF 141 IV 132 consid. 3.4.1 p.</w:t>
      </w:r>
    </w:p>
    <w:p>
      <w:r>
        <w:t>- 7/18 - P/15491/2016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w:t>
      </w:r>
    </w:p>
    <w:p>
      <w:r>
        <w:t>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w:t>
      </w:r>
    </w:p>
    <w:p>
      <w:r>
        <w:t>Des imprécisions relatives au lieu ou à la date sont sans portée, dans la mesure où le prévenu ne peut avoir de doute sur le comportement qui lui est reproché (arrêt du Tribunal fédéral 6B_1141/2015 du 3 juin 2016 consid. 1.1).</w:t>
      </w:r>
    </w:p>
    <w:p>
      <w:r>
        <w:t>La description des faits reprochés dans l'acte d'accusation doit être la plus brève possible (art. 325 al. 1 let. f CPP). Celui-ci ne poursuit pas le but de justifier ni de prouver le bien-fondé des allégations du ministère public qui sont discutées lors des débats. Aussi le MP ne doit-il pas y faire mention des preuves ou des considérations tendant à corroborer les faits (arrêt du Tribunal fédéral 6B_947/2015 du 29 juin 2017 consid. 7.1 et les références).</w:t>
      </w:r>
    </w:p>
    <w:p>
      <w:r>
        <w:t>L'acte d'accusation doit permettre, à sa lecture, de comprendre les faits et les infractions qui sont reprochés au prévenu, et à celui-ci d'exercer efficacement ses droits à la défense. L'acte d'accusation n'est pas une fin en soi, mais un moyen de circonscrire l'objet du procès pénal et de garantir l'information de l'accusé, afin que celui-ci ait la possibilité de se défendre. L'acte d'accusation doit ainsi décrire précisément les infractions reprochées, tant sur le plan objectif que subjectif. Il faut se garder de tout formalisme excessif dans les exigences formulées à l'égard de l'acte d'accusation. Un acte d'accusation n'est pas un jugement (arrêt du Tribunal fédéral 6B_799/2014 du 11 décembre 2014 in Forumpoenale 5/2015 p. 262).</w:t>
      </w:r>
    </w:p>
    <w:p>
      <w:r>
        <w:t>2.2.2. Par ailleurs, il va de soi que le principe de l'accusation ne saurait empêcher l'autorité de jugement, au besoin, de constater des faits permettant de réfuter les contestations et allégations du prévenu, qu'il n'incombe pas au ministère public de</w:t>
      </w:r>
    </w:p>
    <w:p>
      <w:r>
        <w:t>- 8/18 - P/15491/2016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2.2.3. Lorsque par la voie de l'opposition, l'affaire est transmise au tribunal de première instance, l'ordonnance pénale tient lieu d'acte d'accusation (art. 356 al. 1 CPP).</w:t>
      </w:r>
    </w:p>
    <w:p>
      <w:r>
        <w:rPr>
          <w:b/>
        </w:rPr>
        <w:t>E. 2.3</w:t>
      </w:r>
    </w:p>
    <w:p>
      <w:r>
        <w:t>L'intimé se plaint d'une violation de la maxime d'accusation. L'ordonnance pénale du 30 janvier 2017, valant acte d'accusation, indique précisément le lieu, la date, l'heure des faits et les actes reprochés, soit le fait d'avoir circulé à la vitesse de 117 km/h, alors que la vitesse maximale autorisée était de 80 km/h. Les éléments y décrits, certes brièvement comme le prévoit d'ailleurs la loi, sont suffisants pour écarter tout doute quant au comportement reproché au prévenu.</w:t>
      </w:r>
    </w:p>
    <w:p>
      <w:r>
        <w:t>Certes le MP n'a invoqué l'existence de travaux sur le tronçon en cause et l'arrêté de l'OFROU du 10 mars 2016 que dans son ordonnance sur opposition du 26 juin 2019. Il n'en demeure pas moins que, selon la jurisprudence bien établie, l'acte d'accusation ne poursuit pas le but de justifier ni de prouver le bien-fondé des allégations du MP qui sont discutés lors des débats. Il n'est partant nul besoin que des preuves ou des considérations tendant à corroborer les faits y figurent. En d'autres termes, le MP n'était pas obligé de mentionner ces deux éléments dans l'ordonnance pénale du 30 janvier 2017, étant relevés qu'ils tendaient à fonder la culpabilité en lien avec les faits y décrits.</w:t>
      </w:r>
    </w:p>
    <w:p>
      <w:r>
        <w:t>Ces deux éléments étaient au demeurant connus du prévenu depuis sa prise de connaissance du courrier du MP du 7 janvier 2019 les mentionnant expressément. Il a ainsi valablement pu faire valoir son point-de-vue notamment sur ces deux points dès son audition par le MP. Le but d'information de la maxime d'accusation a ainsi pleinement été respecté. L'intimé a pu dans ces conditions non seulement s'expliquer mais également valablement faire valoir ses moyens de défense de sorte que son grief sera rejeté.</w:t>
      </w:r>
    </w:p>
    <w:p>
      <w:r>
        <w:rPr>
          <w:b/>
        </w:rPr>
        <w:t>E. 3</w:t>
      </w:r>
    </w:p>
    <w:p>
      <w:r>
        <w:t>avril 2017 consid. 1.3.1), de même qu'une sortie d'autoroute limitée à 60 km/h, en raison de la configuration qui, selon la végétation ou les constructions obstruant le passage, limite fortement la vue devant soi, augmentant de façon considérable le danger de collision en cas de bouchon (ATF 128 II 131 consid. 2b).</w:t>
      </w:r>
    </w:p>
    <w:p>
      <w:r>
        <w:t>Dans certains cas particuliers, le Tribunal fédéral a en revanche jugé que la violation des règles de la circulation ne devait pas être qualifiée de grave malgré la limitation de vitesse à 80 km/h sur une autoroute car la limitation était d'une part restreinte dans le temps et dans l'espace, et d'autre part n'était pas due à des questions de sécurité mais à des motifs écologiques (arrêt du Tribunal fédéral 6B_109/2008 du 13 juin 2008 consid. 3.2), ou à des mesures de modération du trafic (arrêt du Tribunal fédéral 6B_622/2009 du 23 octobre 2009 consid. 3.5).</w:t>
      </w:r>
    </w:p>
    <w:p>
      <w:r>
        <w:t>- 11/18 - P/15491/2016</w:t>
      </w:r>
    </w:p>
    <w:p>
      <w:r>
        <w:t>3.2.1. En l'espèce, il est constant que le véhicule de l'intimé a été flashé à la vitesse de 117 km/h sur un tronçon d'autoroute limité à 80 km/h, ce qu'il ne conteste pas.</w:t>
      </w:r>
    </w:p>
    <w:p>
      <w:r>
        <w:t>Il ressort de la décision de l'OFROU du 10 mars 2016, dument publiée dans la Feuille fédérale et accessible à tout un chacun, que le tronçon d'autoroute sur lequel a été commis l'excès de vitesse était limité à 80 km/h en raison de travaux dans les deux sens de circulation, l'excès constaté l'ayant été à la fin de limitation (km ______ (numéro)) dans le sens de circulation ______ (VD – douane de ______ (VD), eu égard au danger potentiel. Partant, en application de la jurisprudence, ce tronçon d'autoroute était assimilé à l'époque des faits à une route située en dehors d'une localité, eu égard au danger potentiel, quand bien même il est composé de deux voies dans le même sens de marche. Par conséquent, le dépassement de vitesse litigieux étant supérieur à 30 km/h, soit le seuil retenu pour le cas grave hors localité, il doit être objectivement qualifié de grave.</w:t>
      </w:r>
    </w:p>
    <w:p>
      <w:r>
        <w:t>3.2.2. L'intimé ayant dépassé de manière aussi caractérisée la vitesse autorisée, il a agi intentionnellement ou à tout le moins par négligence grossière, de sorte qu'il existe un lien étroit entre la violation objectivement grave et l'absence de scrupule sous l'angle subjectif. Contrairement à ses allégués et l'avis du TP, il n'existe pas en l'espèce des circonstances particulières permettant d'exclure une absence de scrupules. En effet, la limitation de vitesse était destinée à protéger les usagers de la route et les ouvriers respectivement aux abords et sur le chantier. Or la présence d'un chantier sur la chaussée doit inciter les conducteurs à une attention et une prudence accrues (arrêts du Tribunal fédéral 6B_672/2018 du 20 septembre 2018 consid. 1.3 et 6B_444/2016 du 3 avril 2017 consid. 1.3.1). Certes aucun élément de chantier n'apparait sur la photo versée à la procédure, étant au demeurant relevé que l'angle dans lequel elle a été prise, logiquement vu son but d'identification du conducteur, ne laisse apparaître qu'une infime portion de la chaussée alentour. S'il ne peut partant sur cette seule base être affirmé que ladite portion de la chaussée était alors physiquement entravée par des travaux, l'excès de vitesse constaté l'a été sur un tronçon et dans la période couverte par la décision de l'OFROU rendue en raison du chantier. Autrement dit, dans ces circonstances, ce n'est pas parce que la photo ne montre pas de chantier au km ______ (numéro) qu'il n'y en avait pas dans le secteur. Si l'on s'en tient à l'article de presse versé à la procédure par le TP, tel était alors bien le cas sur le tronçon en cause, dans les tunnels de ______ (GE) et ______ (GE), les travaux étant certes effectués principalement de nuit, ce qui n'exclut partant pas qu'ils le soient également de jour. Quand bien même, le matériel stocké ne disparaissait pas le jour et était une source connue de distraction pour les conducteurs. L'intimé devait dans ces conditions tenir compte d'une présence à tout le moins potentielle d'ouvriers au moment de l'excès de vitesse, ou d'un ralentissement</w:t>
      </w:r>
    </w:p>
    <w:p>
      <w:r>
        <w:t>- 12/18 - P/15491/2016 pouvant mettre en danger les autres usagers. L'excès de vitesse commis par l'intimé doit ainsi être qualifié de grave, de sorte qu'il sera reconnu coupable d'infraction à l'art. 90 al. 2 LCR.</w:t>
      </w:r>
    </w:p>
    <w:p>
      <w:r>
        <w:t>L'appel du MP sera donc admis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concernée,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4.2</w:t>
      </w:r>
    </w:p>
    <w:p>
      <w:r>
        <w:t>Les nouvelles dispositions sur le droit des sanctions sont entrées en vigueur le 1er janvier 2018. En l'espèce, la nouvelle mouture de l'art. 42 al. 4 CP, dont il sera fait application in concreto (cf consid. 4.4.), prévoyant uniquement la possibilité de prononcer, en plus d'une peine avec sursis, une amende conformément à l'art. 106 CP, est plus favorable à l'intimé.</w:t>
      </w:r>
    </w:p>
    <w:p>
      <w:r>
        <w:t>Il sera dès lors fait application du nouveau droit des sanctions en vertu du principe de la lex mitior (art. 2 al. 2 CP).</w:t>
      </w:r>
    </w:p>
    <w:p>
      <w:r>
        <w:t>4.3.1.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- 13/18 - P/15491/2016</w:t>
      </w:r>
    </w:p>
    <w:p>
      <w:r>
        <w:t>4.3.2. A teneur de l'art. 42 al. 1 CP, le juge suspend en règle générale l'exécution d'une peine pécuniaire ou d'une peine privative de liberté de deux ans au plus lorsqu'une peine ferme ne paraît pas nécessaire pour détourner l'auteur d'autres crimes ou délits.</w:t>
      </w:r>
    </w:p>
    <w:p>
      <w:r>
        <w:t>Si le juge suspend totalement ou partiellement l'exécution d'une peine, il impartit au condamné un délai d'épreuve de deux à cinq ans (art. 44 al. 1 CP).</w:t>
      </w:r>
    </w:p>
    <w:p>
      <w:r>
        <w:t>4.3.3. L'amende au sens de l'art. 106 CP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ATF 134 IV 60 consid. 7.3.1).</w:t>
      </w:r>
    </w:p>
    <w:p>
      <w:r>
        <w:t>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t>4.3.4. 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w:t>
      </w:r>
    </w:p>
    <w:p>
      <w:r>
        <w:t>Un jour de peine privative de liberté de substitution (art. 106 al. 2 CP) correspond schématiquement à CHF 100.- amende (R.ROTH / L. MOREILLON [éds], Code pénal I : art. 1-100 CP, Bâle 2009, n. 19 ad art. 106), taux de conversion généralement appliqué et admis par la jurisprudence.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 13 mai 2008 consid. 7.1.3 et les références citées).</w:t>
      </w:r>
    </w:p>
    <w:p>
      <w:r>
        <w:t>- 14/18 - P/15491/2016</w:t>
      </w:r>
    </w:p>
    <w:p>
      <w:r>
        <w:rPr>
          <w:b/>
        </w:rPr>
        <w:t>E. 4.4</w:t>
      </w:r>
    </w:p>
    <w:p>
      <w:r>
        <w:t>En l'espèce, la faute de l'intimé est importante. En commettant un excès de vitesse de 33 km/h, pour sa seule convenance personnelle, il a agi au détriment de la sécurité d'autrui et sans considération pour les règles de la circulation applicables. Ce faisant, quelles que soient les conditions météorologiques et l'intensité du trafic, il a créé un danger sérieux pour les autres usagers de la route et potentiellement les ouvriers, quand bien même les travaux le jour en cause ne se seraient déroulés que de nuit.</w:t>
      </w:r>
    </w:p>
    <w:p>
      <w:r>
        <w:t>La collaboration de l'intimé à la procédure doit être qualifiée de bonne, dès lors qu'il a immédiatement admis le dépassement de vitesse constaté. D'ailleurs, il semble avoir pris conscience de l'acte dès lors qu'il a vendu sa voiture et affirme conduire rarement. Il n'a aucun antécédent judiciaire, élément toutefois neutre s'agissant de la fixation de la peine (ATF 141 IV 61 consid. 6.3.2 p. 70).</w:t>
      </w:r>
    </w:p>
    <w:p>
      <w:r>
        <w:t>Au vu de ce qui précède, une peine pécuniaire de 30 jours-amende à CHF 100.- l'unité représente une sanction adéquate, qui tient également compte de la situation financière de l'intimé.</w:t>
      </w:r>
    </w:p>
    <w:p>
      <w:r>
        <w:t>Le sursis, dont les conditions sont réalisées, doit être accordé à l'intimé.</w:t>
      </w:r>
    </w:p>
    <w:p>
      <w:r>
        <w:t>Un délai d'épreuve de deux ans, le minimum légal, est à même de le dissuader de la commission de nouvelles infractions.</w:t>
      </w:r>
    </w:p>
    <w:p>
      <w:r>
        <w:t>Le prévenu sera en outre condamné à une amende à titre de sanction immédiate, dans un but de prévention spéciale. Un montant de CHF 600.-, lequel n'excède pas 20% de la peine principale, est approprié à la faute commise. La peine privative de liberté de substitution sera fixée à six jours.</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5.2</w:t>
      </w:r>
    </w:p>
    <w:p>
      <w:r>
        <w:t>L'intimé, qui succombe, sera condamné aux frais de la procédure d'appel qui comprennent un émolument de CHF 1'500.- (art. 428 al. 1 CPP; 14 al. 1 let. e du règlement du 22 décembre 2010 fixant le tarif des frais et dépens en matière pénale [RTFMP - E 4 10.03]. Vu l'issue du litige, les frais de procédure de première instance seront laissés à sa charge, à l'exception de l'émolument complémentaire de CHF 600.- qui restera à celle de l'Etat.</w:t>
      </w:r>
    </w:p>
    <w:p>
      <w:r>
        <w:t>- 15/18 - P/15491/2016</w:t>
      </w:r>
    </w:p>
    <w:p>
      <w:r>
        <w:rPr>
          <w:b/>
        </w:rPr>
        <w:t>E. 6.1</w:t>
      </w:r>
    </w:p>
    <w:p>
      <w:r>
        <w:t>A teneur de l'art. 429 al. 1 let. a CPP, le prévenu a droit, s'il est acquitté totalement ou en partie, à une indemnité pour les dépenses occasionnées par l'exercice raisonnable de ses droit de procédure.</w:t>
      </w:r>
    </w:p>
    <w:p>
      <w:r>
        <w:t>Cette disposition est le pendant de l'art. 426 al. 2 CPP en matière de frais. Une mise à charge des frais selon l'art. 426 al. 1 et 2 CPP exclut en principe le droit à une indemnisation (arrêts du Tribunal fédéral 6B_548/2018 du 18 juillet 2018 consid. 1.1.2 ; 6B_385/2017 du 5 décembre 2017 consid. 2.1).</w:t>
      </w:r>
    </w:p>
    <w:p>
      <w:r>
        <w:rPr>
          <w:b/>
        </w:rPr>
        <w:t>E. 6.2</w:t>
      </w:r>
    </w:p>
    <w:p>
      <w:r>
        <w:t>Les frais de la procédure de première et de seconde instance ayant été mis à charge de l'intimé, ses demandes d'indemnisation pour les dépenses occasionnées par l'exercice raisonnable de ses droits de procédure seront rejetées. * * * * *</w:t>
      </w:r>
    </w:p>
    <w:p>
      <w:r>
        <w:t>- 16/18 - P/15491/2016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