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AARP/141/2016 vom 14. April 2016</w:t>
      </w:r>
    </w:p>
    <w:p>
      <w:r>
        <w:t>GE Cour de justice, 2016-04-14, FR</w:t>
      </w:r>
    </w:p>
    <w:p>
      <w:r>
        <w:rPr>
          <w:b/>
        </w:rPr>
        <w:t xml:space="preserve">Quelle: </w:t>
      </w:r>
      <w:r>
        <w:t>https://mcp.opencaselaw.ch/entscheid/ge_gerichte_AARP_141_2016</w:t>
      </w:r>
    </w:p>
    <w:p>
      <w:r>
        <w:t>FR: GE_GERICHTE AARP/141/2016 du 14 avril 2016</w:t>
      </w:r>
    </w:p>
    <w:p>
      <w:r>
        <w:t>IT: GE_GERICHTE AARP/141/2016 del 14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- 7/13 - P/7865/2011 ordonnées (let. c) ; les prétentions civiles ou certaines d'entre elles (let. d) ; les conséquences accessoires du jugement (let. e) ; les frais, les indemnités et la réparation du tort moral (let. f) ; les décisions judiciaires ultérieures (let. g).</w:t>
      </w:r>
    </w:p>
    <w:p>
      <w:r>
        <w:t>La CPAR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- 8/13 - P/7865/2011 Les déclarations de la victime, entendue comme témoin, constituent un élément de preuve que le juge apprécie librement (arrêts du Tribunal fédéral 6B_614/2012 du 15 février 2013 consid. 3.2.5 et 6B_716/2010 du 15 novembre 2010 consid. 1.3).</w:t>
      </w:r>
    </w:p>
    <w:p>
      <w:r>
        <w:rPr>
          <w:b/>
        </w:rPr>
        <w:t>E. 2.2</w:t>
      </w:r>
    </w:p>
    <w:p>
      <w:r>
        <w:t>L'art. 133 al. 1 CP réprime le comportement de celui qui aura pris part à une rixe ayant entraîné la mort d'une personne ou une lésion corporelle. La rixe est une altercation physique réciproque entre au moins trois personnes qui y participent activement et qui a pour effet d'entraîner le décès d'une personne ou une lésion corporelle.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Il convient donc de sanctionner chacun des participants indépendamment de sa responsabilité personnelle par rapport à l'atteinte à la vie ou à l'intégrité corporelle survenue dans ce contexte (ATF 131 IV 150 consid. 2.1 ; 106 IV 246 consid. 3e ; arrêt du Tribunal fédéral 6B_111/2009 du 16 juillet 2009 consid. 1.2). L'infraction est un délit de mise en danger abstrait, même si un résultat doit s'être produit. La survenance de la mort d'une personne ou des lésions corporelles ne constitue pas un élément objectif de l'infraction, mais une condition objective de punissabilité, sur laquelle ne doit pas nécessairement porter l'intention (ATF 137 IV 1 consid. 4.2.2 et 4.2.3 ; 106 IV 246 consid. 3f). Lorsqu'une personne a une attitude purement passive, ne cherche qu'à se protéger et ne donne aucun coup, on ne peut soutenir qu'elle participe à la rixe. En effet, celle-ci exige une certaine forme de participation, soit un combat actif, effectif et réciproque entre au moins trois personnes. Si l'une des trois ne se bat pas et n'use pas de violence pour repousser l'attaque, il n'y a pas de rixe (ATF 106 IV 246 consid. 3e). En revanche, quand une personne a une attitude active mais purement défensive ou de séparation, c'est-à-dire distribue des coups, mais exclusivement pour se protéger, défendre autrui ou séparer les combattants, on a alors affaire à une rixe (ATF 94 IV 105). La loi prévoit toutefois un fait justificatif spécial en ce sens que n'est pas punissable l'adversaire qui n'accepte pas le combat et se borne à repousser une attaque, à défendre autrui ou à séparer les combattants (art. 133 al. 2 CP). En conclusion, se borne à repousser une attaque, à défendre autrui ou à séparer les combattants au sens de l'art. 133 al. 2 CP,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2.1).</w:t>
      </w:r>
    </w:p>
    <w:p>
      <w:r>
        <w:t>- 9/13 - P/7865/2011</w:t>
      </w:r>
    </w:p>
    <w:p>
      <w:r>
        <w:rPr>
          <w:b/>
        </w:rPr>
        <w:t>E. 2.3</w:t>
      </w:r>
    </w:p>
    <w:p>
      <w:r>
        <w:t>En l'espèce, il est établi par les déclarations concordantes des supporters qu'C______ est sorti de son véhicule et a saisi un membre de leur groupe au cou. Une bagarre en deux phases en a découlé, ce que corroborent d'ailleurs les déclarations de la victime C______. Lors de la première phase, un petit groupe de supporters s'est élancé contre lui et lui a donné des coups. Durant la seconde phase, il a frappé G______ et F______ avec une barre de fer dont il s'était saisi, puis a reçu une série de coups alors qu'il se trouvait au sol. Cette version des faits n'a d'ailleurs pas été contestée par C______, qui n'a pas formé appel contre le jugement de première instance. Au demeurant, plusieurs prévenus ont été blessés lors des faits, de sorte que la condition objective de punissabilité de l'art. 133 al. 1 CP est réalisée. Reste seule litigieuse la question du degré de participation de l'appelant à l'altercation. Il soutient s'être trouvé à plusieurs mètres de distance lors de la première phase, puis, lors de la seconde, s'être contenté de "sauter dans la bagarre", soit "entre" C______ et G______, aux fins de protéger son ami du danger que représentait l'usage d'une barre de fer. Il est certes difficile de différencier l'intervention de chacun lors d'une bagarre impliquant autant de participants. Cela étant, la thèse de l'appelant est contredite par les déclarations de F______, selon lequel quatre supporters, dont un certain "A______", s'étaient élancés contre C______ et lui avaient donné des coups lors de la première phase de la bagarre. Or, le dénommé "A______" ne pouvait qu'être l'appelant, F______ ayant précisé qu'il s'agissait des cinq individus qui avaient été "désignés" sur les lieux, dont l'appelant faisait précisément partie. La CPAR considère que les déclarations du prévenu F______ sont crédibles, puisqu'il n'avait aucune raison de mettre en cause l'appelant, qui faisait partie du même groupe que lui. Elles sont également corroborées par le fait que l'appelant a été identifié par C______ à trois reprises. Même si celui-ci n'était pas en mesure d'indiquer si l'appelant lui avait effectivement donné des coups au vu de la confusion régnante, ses déclarations ont été constantes et relativement crédibles ; il a certes cherché à minimiser son rôle dans la bagarre pour se disculper, mais a également fourni des indications détaillées qui se sont révélées exactes par la suite, notamment lorsqu'il a d'emblée indiqué qu'il avait frappé un supporter à la cuisse et qu'il avait fait des mouvements circulaires avec la barre de fer, ou qu'un individu, qui s'est avéré être le prévenu H______, lui avait conseillé de quitter les lieux. La participation active de l'appelant à la bagarre permet également d'expliquer le comportement agressif et "extrêmement récalcitrant" dont il a fait preuve à l'égard de la police lors de son interpellation. En outre, elle est compatible avec les déclarations d'I______, qui a vu C______ poursuivre des supporters, dont l'appelant, avec sa barre de fer, ce qui ne peut s'expliquer que par sa participation à la première phase de l'altercation.</w:t>
      </w:r>
    </w:p>
    <w:p>
      <w:r>
        <w:t>- 10/13 - P/7865/2011 À cela s'ajoute que les déclarations de l'appelant ont fluctué au cours de la procédure. Il a d'abord admis avoir "sauté sur" C______ en courant ("auf ihn"), puis soutenu, de manière peu crédible, plusieurs années après les faits, avoir sauté "entre" les protagonistes. Ses explications dénotent également une certaine tendance à l'exagération, en particulier lorsqu'il a affirmé que "50 à 100" personnes se trouvaient à proximité d'C______ à la fin de la seconde phase de la bagarre, ce qui est physiquement impossible, même à supposer qu'il y eût autant de supporters sur l'aire d'autoroute. Contrairement à ce qu'il soutient, l'appelant a donc activement participé à la première phase de la bagarre et alimenté le combat, avant que son ami G______ ne soit touché par la barre de fer et ne s'enfuie aux toilettes, selon ses propres déclarations, ce qui contredit encore la thèse de l'appelant, qui soutient que son ami se trouvait au sol. Son intervention ne poursuivait aucun but défensif ou de séparation des combattants. Partant, les éléments constitutifs de l'infraction de rixe sont réalisés, sans que ne le soient ceux du fait justificatif spécial de l'art. 133 al. 2 CP. Pour toutes ces raisons, le verdict de culpabilité du chef de rixe sera confirmé et l'appel rejeté.</w:t>
      </w:r>
    </w:p>
    <w:p>
      <w:r>
        <w:rPr>
          <w:b/>
        </w:rPr>
        <w:t>E. 2.4</w:t>
      </w:r>
    </w:p>
    <w:p>
      <w:r>
        <w:t>Les conclusions en indemnisation prises en appel par l'appelant seront en conséquence rejetées.</w:t>
      </w:r>
    </w:p>
    <w:p>
      <w:r>
        <w:rPr>
          <w:b/>
        </w:rPr>
        <w:t>E. 3.1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- 11/13 - P/7865/2011</w:t>
      </w:r>
    </w:p>
    <w:p>
      <w:r>
        <w:rPr>
          <w:b/>
        </w:rPr>
        <w:t>E. 3.2</w:t>
      </w:r>
    </w:p>
    <w:p>
      <w:r>
        <w:t>En l'espèce, l'appelant ne conteste pas – à raison – la peine pécuniaire de 30 jours-amende, à CHF 50.- l'unité, avec sursis pendant trois ans, prononcée par le premier juge. En effet, celle-ci consacre une correcte application des principes exposés ci-dessus, qu'il s'agisse du type de peine prononcée, de sa quotité ou de l'octroi du sursis, qui est acquis à l'appelant. Ainsi et pour les motifs figurant dans le jugement querellé, que la CPAR fait siens, la peine sera confirmée.</w:t>
      </w:r>
    </w:p>
    <w:p>
      <w:r>
        <w:rPr>
          <w:b/>
        </w:rPr>
        <w:t>E. 4</w:t>
      </w:r>
    </w:p>
    <w:p>
      <w:r>
        <w:t>L'appelant, qui succombe, supportera les frais de la procédure envers l'État, qui comprennent un émolument de jugement de CHF 2'000.- (art. 428 al. 1 CPP et art. 14 al. 1 let. e du Règlement fixant le tarif des frais en matière pénale [RTFMP ; rs/GE E 4 10.03]). * * * * *</w:t>
      </w:r>
    </w:p>
    <w:p>
      <w:r>
        <w:t>- 12/13 - P/7865/2011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