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AARP/140/2023 vom 28. März 2023</w:t>
      </w:r>
    </w:p>
    <w:p>
      <w:r>
        <w:t>GE Cour de justice, 2023-03-28, FR</w:t>
      </w:r>
    </w:p>
    <w:p>
      <w:r>
        <w:rPr>
          <w:b/>
        </w:rPr>
        <w:t xml:space="preserve">Quelle: </w:t>
      </w:r>
      <w:r>
        <w:t>https://mcp.opencaselaw.ch/entscheid/ge_gerichte_AARP_140_2023</w:t>
      </w:r>
    </w:p>
    <w:p>
      <w:r>
        <w:t>FR: GE_GERICHTE AARP/140/2023 du 28 mars 2023</w:t>
      </w:r>
    </w:p>
    <w:p>
      <w:r>
        <w:t>IT: GE_GERICHTE AARP/140/2023 del 28 marzo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w:t>
      </w:r>
    </w:p>
    <w:p>
      <w:r>
        <w:t>- 10/22 - P/19358/2020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p. 82). 2.1.2. Selon la jurisprudence,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105 Ib 114 consid. 1a en matière de retrait du permis de conduire).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(arrêts du Tribunal fédéral 6B_914/2015 du 30 juin 2016 consid. 1.2; 6B_237/2015 du 16 février 2016 consid. 2.1). 2.1.3. 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 d'au moins 50 km/h, là où la limite était fixée à 50 km/h et d'au moins 60 km/h, là où la limite était fixée à 80 km/h (art. 90 al. 4 let. b et c LCR).</w:t>
      </w:r>
    </w:p>
    <w:p>
      <w:r>
        <w:t>- 11/22 - P/19358/2020 2.1.4.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 En effet, il faut considérer que l'atteinte d'un des seuils visés à l'art. 90 al. 4 LCR implique généralement l'impossibilité d'éviter un grand risque d'accident en cas d'obstacle ou de perte de maîtrise du véhicule (ATF 142 IV 137 consid. 11.2 p. 151 ; arrêt du Tribunal fédéral 6B_700/2015 du 14 septembre 2016). 2.2.1. L'appelante n'a jamais contesté l'importance du dépassement de vitesse de 75 km/h, marge de sécurité de 6 km/h déduite, sur un tronçon limité à 60 km/h, tel qu'enregistré par un radar le 9 juin à 00h53, ni la qualification d'infraction à l'art. 90 al. 3 LCR. Elle conteste avoir été au volant au moment de l'excès de vitesse litigieux. Ses explications n'emportent toutefois pas conviction face au faisceau d'indices ressortant du dossier : 2.2.2. L'appelante, détentrice officielle du véhicule incriminé, était à l'époque des faits, domiciliée à cinq minutes du lieu où était situé le radar. Elle a, le soir des faits, dîné dehors, contrairement à ce qu'elle a indiqué par message à son ex-époux le 21 juillet 2020. Elle était en possession de ses deux téléphones portables durant la soirée et la nuit du 8 au 9 juin 2020, ce que l'appelante ne conteste pas en soi, et ceux-ci ont été activés trois fois de suite à proximité immédiate de son domicile, à 01h01, soit sept minutes après l'excès de vitesse litigieux. Cela laisse suggérer, comme le soutient l'accusation, que l'appelante ne dormait pas mais venait d'arriver chez elle au volant de son véhicule, empruntant nécessairement le tronçon de la route de Thonon où se situe le radar, et, une fois arrivée chez elle, s'est appelée depuis son téléphone professionnel vers son téléphone privé, trois fois de suite, sans doute car elle ne le trouvait pas. Seule cette explication concorde avec les données rétroactives, dont rien ne permet de douter de la véracité ou de suspecter qu'elles auraient fait l'objet d'un bug. L'appelante ne prétend en particulier pas qu'elle aurait passé ces appels alors qu'elle se trouvait chez elle. Elle le conteste au contraire, expliquant qu'elle dormait à cette heure-là et n'avait d'ailleurs jamais constaté d'appels manqués ou de message combox</w:t>
      </w:r>
    </w:p>
    <w:p>
      <w:r>
        <w:t>- 12/22 - P/19358/2020 par la suite. L'on ne saurait retenir que n'importe qui, possiblement son ex-mari, voire son assistante, aurait pu utiliser son téléphone professionnel, et commettre l'infraction en cause. Cela présupposerait en effet que cette personne se soit introduite chez elle, emparée des clés de la voiture, de son téléphone professionnel, commis l'infraction et composé trois fois de suite son numéro personnel à l'aide dudit téléphone, pour finalement tout remettre en place afin qu'elle ne se rende compte de rien. Cela ne fait tout simplement aucun sens. Il ne ressort par ailleurs pas de la procédure que les plaques de l'appelante auraient été volées ou auraient disparu. L'appelante a au contraire expliqué les avoir elles- mêmes enlevé le 10 juin 2020, au moment de procéder à l'installation des nouvelles. Elle n'a pas non plus déposé plainte pour usurpation de plaques. L'appelante a déjà été condamnée par le passé pour violation grave des règles de la circulation routière (art. 90 al. 2 LCR), pour un important excès de vitesse, de même que pour avoir ensuite circulé, à plusieurs reprises, au volant d'un motocycle alors qu'elle était sous le coup d'un retrait de permis. La Cour ne peut ainsi que constater la facilité de l'appelante à commettre des infractions à la LCR. Le fait qu'elle a acheté une nouvelle voiture, soit un SUV, relativement puissant, et installé des plaques spéciales, alors qu'elle était sous le coup d'un retrait de permis, atteste encore de l'attrait certain de l'appelante pour les voitures, la vitesse et les sensations fortes, ce que laisse également suggérer sa passion pour l'alpinisme de haut niveau, dans des conditions extrêmes. Si le fait qu'elle a procédé au changement de ses plaques le lendemain du dépassement de vitesse litigieux (10 juin 2020) ne peut en tant que tel être retenu comme élément à charge dans la mesure où les plaques ont été commandées une semaine auparavant par G______, un ami dont elle explique qu'il est un passionné de voitures, la Cour relèvera que c'est quelques heures après avoir parlé au téléphone avec ce dernier (appel du 8 juin 2020 à 18h37), que l'excès de vitesse a été commis. L'appelante a d'ailleurs initialement refusé, sans que l'on en comprenne les raisons, de révéler l'identité de ce dernier, tout en affirmant qu'il n'était pas impliqué dans l'excès de vitesse litigieux, cela alors qu'elle soutient parallèlement ignorer qui cela pouvait bien être. Ces éléments sont troublants. S'y ajoute encore ce qui suit : 2.2.3. E______, le seul autre potentiel utilisateur, a formellement contesté être l'auteur du dépassement de vitesse en cause. Il ne sortait pas les lundis soirs et rentrait en général du travail vers 18h30, comme les autres jours de la semaine. Il n'avait conduit que très rarement la voiture de l'appelante et toujours en compagnie de celle-ci, ce qu'il a d'ailleurs relevé dans l'échange de SMS du 21 juillet 2020 sus évoqué, et ce qui n'avait alors pas suscité de réaction de l'appelante.</w:t>
      </w:r>
    </w:p>
    <w:p>
      <w:r>
        <w:t>- 13/22 - P/19358/2020 Aucun élément matériel du dossier ne permet de contredire les déclarations de E______ qui précèdent, y compris les données rétroactives de son raccordement téléphonique, lesquelles tendent d'ailleurs plutôt à les confirmer puisqu'elles ont permis d'établir qu'à 17h45, un appel a déclenché l'antenne à proximité de son adresse officielle, puis plus rien jusqu'au lendemain matin à 09h00. 2.2.4. Son raccordement téléphonique a du reste déclenché, à plusieurs reprises, entre le 8 juin 2020, 08h00, et le 9 juin 2020, 17h00, l'antenne située à proximité de ce domicile et non celle à côté de l'appartement de l'appelante, ce qui laisse suggérer qu'il vivait à cette adresse et non chez l'appelante, dont il était séparé depuis 2019. Tous deux se sont au demeurant contredits ou à tout le moins ont donné une explication peu convaincante du fait que l'époux était à cette période revenu vivre chez l'appelante, alors que son adresse officielle était autre et qu'ils étaient en procédure de séparation depuis 2019. L'appelante s'est contentée d'expliquer qu'il avait quitté le domicile conjugal en décembre 2018 ou janvier 2019 mais était revenu vivre chez l'appelante au moment des faits, en tant que simple colocataire. Dans cette mesure, il ne pouvait pas confirmer qu'elle était bien à la maison au moment du dépassement litigieux. E______ a pour sa part d'abord expliqué qu'il ignorait la date à laquelle il avait quitté l'appartement de son ex-femme avant de confirmer ce qu'avait déclaré cette dernière, à savoir qu'il avait quitté le domicile conjugal en décembre 2018 et qu'au moment des faits, il habitait bien chez elle. Il a alors précisé qu'il s'était à cette période brièvement réconcilié avec l'appelante et que cela se passait bien, ce qui ne concorde pas avec les explications de cette dernière. E______ est ensuite revenu sur ses dires affirmant qu'en fait, la relation était compliquée, raison pour laquelle il n'était effectivement pas en mesure de confirmer que l'appelante était avec lui à la maison la nuit des faits. 2.2.4. L'appelante argue encore que E______ a menti en cours de procédure. Ce dernier conduisait également le véhicule en cause, qu'elle avait d'ailleurs acheté pour lui. Il avait du reste des antécédents plus graves qu'elle en matière de circulation routière. Outre qu'elles ne trouvent aucune assise dans la procédure, ces déclarations incriminantes, livrées en première instance et en appel, détonnent avec ses explications plus mesurées en procédure préliminaire. Commodément livrées alors qu'une ordonnance de classement avait d'ores et déjà été rendue à l'égard de son ex- mari, elles ne convainquent ainsi guère. L'appelante a d'ailleurs affirmé qu'elle était désormais la seule utilisatrice du véhicule en cause, ce qui achève d'anéantir ses propos selon lesquelles elle avait financé cette voiture pour son ex-mari. 2.2.5. Les explications soudaines de l'appelante aux débats de première instance au sujet de K______ ne convainquent pas davantage. Elle avait en effet jusque-là soutenu que personne n'était en mesure de confirmer qu'elle était chez elle au</w:t>
      </w:r>
    </w:p>
    <w:p>
      <w:r>
        <w:t>- 14/22 - P/19358/2020 moment des faits, y compris d'ailleurs son ex-époux qui vivait supposément chez elle, et le témoignage de K______ n'a nullement permis de corroborer ses dires, puisqu'il a indiqué qu'il ne se souvenait pas de son emploi du temps le soir des faits. Il n'a en particulier pas été en mesure de confirmer avoir alors dîné au I______ avec l'appelante et l'avoir ensuite raccompagnée chez elle. 2.2.7. L'ensemble des éléments qui précèdent permettent de considérer qu'il existe un faisceau d'indices convergents suffisant permettant de retenir, au-delà de tout doute raisonnable, que l'appelante, est bien l'auteure de l'excès de vitesse du 9 juin 2020.</w:t>
      </w:r>
    </w:p>
    <w:p>
      <w:r>
        <w:rPr>
          <w:b/>
        </w:rPr>
        <w:t>E. 2.3</w:t>
      </w:r>
    </w:p>
    <w:p>
      <w:r>
        <w:t>Partant, la culpabilité de l'appelante du chef d'infraction à l'art. 90 al. 3 et al. 4 let. b LCR sera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3.1.2. À teneur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w:t>
      </w:r>
    </w:p>
    <w:p>
      <w:r>
        <w:t>- 15/22 - P/19358/2020 d'amendement. Il n'est pas admissible d'accorder un poids particulier à certains critères et d'en négliger d'autres qui sont pertinents (ATF 135 IV 180 consid. 2.1). Si, durant le délai d'épreuve, le condamné commet un crime ou un délit et qu'il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 3.1.3. L'amende au sens de l'art. 106 CP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 ATF 134 IV 60 consid. 7.3.1).</w:t>
      </w:r>
    </w:p>
    <w:p>
      <w:r>
        <w:t>- 16/22 - P/19358/2020 Il résulte de la place de l'art. 42 al. 4 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3.1.4. Aux termes de l'art. 106 al. 2 CP, le juge prononce dans son jugement,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(al. 3). Un jour de peine privative de liberté de substitution (art. 106 al. 2 CP) correspond schématiquement à CHF 100.- d'amende (R. ROTH / L. MOREILLON [éds], Code pénal I : art. 1-100 CP, Bâle 2009, n. 19 art. 106), taux de conversion généralement appliqué et admis par la jurisprudence. 3.1.5. D'après l'art. 90 al. 3 LCR, la violation intentionnelle des règles fondamentales de la circulation est réprimée par une peine privative de liberté d'un à quatre ans.</w:t>
      </w:r>
    </w:p>
    <w:p>
      <w:r>
        <w:rPr>
          <w:b/>
        </w:rPr>
        <w:t>E. 3.2</w:t>
      </w:r>
    </w:p>
    <w:p>
      <w:r>
        <w:t>En l'occurrence, la faute de l'appelante est importante dans la mesure où elle a violé les règles fondamentales de la circulation routière. Elle a en effet dépassé la vitesse autorisée de 75 km/h, sans se soucier du danger que représentait un tel comportement pour les autres usagers de la route. Elle a ainsi agi de manière désinvolte, sans aucun égard pour les règles en vigueur ni pour la sécurité publique, par pure convenance personnelle, soit pour un motif égoïste. Elle a également conduit un véhicule automobile alors qu'elle faisait l'objet d'une mesure de retrait de son permis de conduire et avait déjà été condamnée par le passé pour cela, ce qui dénote un mépris total et ancré des règles et interdits en vigueur. La situation personnelle de la prévenue n'explique ni ne justifie ses agissements. Sa collaboration à la procédure a été mauvaise, dès lors qu'elle a contesté être l'auteur de l'excès de vitesse, même confrontée aux éléments matériels du dossier, fournissant des explications fluctuantes et peu crédibles. La prévenue n'a nullement pris conscience de la gravité de ses agissements, ce que du reste reflètent ses antécédents judiciaires spécifiques et relativement récents, facteur</w:t>
      </w:r>
    </w:p>
    <w:p>
      <w:r>
        <w:t>- 17/22 - P/19358/2020 aggravant. En effet, la prévenue n'a pas hésité à conduire et à commettre un excès de vitesse très important, alors qu'elle faisait l'objet d'un retrait du permis de conduire et qu'elle avait déjà fait l'objet d'une condamnation pour excès de vitesse. Il y a concours d'infractions, facteur aggravant (art. 49 CP). Le TP a tenu compte adéquatement des éléments qui précèdent, en prononçant la peine-plancher définie par la loi, à savoir une peine privative de liberté d'un an, pour la violation fondamentale des règles de la circulation routière, et en l'aggravant d'un mois (peine hypothétique de deux mois) pour la conduite sous retrait de permis. Au vu de la nouvelle infraction commise durant les délais d'épreuve de ses deux précédentes condamnations, il y a lieu de prononcer la révocation des précédents sursis accordés respectivement le 2 avril 2019 (20 jours-amende à CHF 170.- l'unité) et le 27 mai 2019 (40 jours-amende à CHF 160.- l'unité). En raison de son incarcération prévisible en cas de réitération et de la révocation des sursis antérieurs, la Cour veut croire que le pronostic n'est pas encore totalement défavorable et qu'il se justifie d'accorder à l'appelante une ultime chance de s'amender sans exécuter la peine privative de liberté qui sera prononcée. Le délai d'épreuve devra être fixé à cinq ans et une amende prononcée à titre de sanction immédiate de sorte à contrer toute velléité de récidive. L'amende sera fixée à CHF 3'000.-, somme qui respecte son caractère accessoire par rapport à la peine principale prononcée. La peine privative de liberté de substitution sera fixée à 30 jours.</w:t>
      </w:r>
    </w:p>
    <w:p>
      <w:r>
        <w:rPr>
          <w:b/>
        </w:rPr>
        <w:t>E. 5</w:t>
      </w:r>
    </w:p>
    <w:p>
      <w:r>
        <w:t>5.1. L'appelante n'obtient que très partiellement gain de cause, le sursis lui ayant été accordé. Elle supportera les trois quarts des frais de la procédure d'appel comprenant un émolument d'arrêt de CHF 2'000.- (art. 428 al. 1 CPP et art. 14 let. e du règlement fixant le tarif des frais en matière pénale [RTFMP).</w:t>
      </w:r>
    </w:p>
    <w:p>
      <w:r>
        <w:t>Il en va de même de l'émolument complémentaire de jugement de CHF 600.- fixé par le TP qui sera mis à sa charge à hauteur des trois quarts, soit de CHF 450.-.</w:t>
      </w:r>
    </w:p>
    <w:p>
      <w:r>
        <w:rPr>
          <w:b/>
        </w:rPr>
        <w:t>E. 5.2</w:t>
      </w:r>
    </w:p>
    <w:p>
      <w:r>
        <w:t>Les frais de la procédure préliminaire et de première instance seront pour le surplus laissés intégralement à sa charge, dans la mesure où la peine n'a pas eu d'influence sur ces frais (art. 428 al. 3 CPP).</w:t>
      </w:r>
    </w:p>
    <w:p>
      <w:r>
        <w:rPr>
          <w:b/>
        </w:rPr>
        <w:t>E. 6</w:t>
      </w:r>
    </w:p>
    <w:p>
      <w:r>
        <w:t>6.1. À teneur de l'art. 429 CPP, le prévenu a droit, s'il bénéficie d'une ordonnance de classement, à une indemnité pour les dépenses occasionnées par l'exercice raisonnable de ses droits de procédure (let. a.) à une indemnité pour le dommage</w:t>
      </w:r>
    </w:p>
    <w:p>
      <w:r>
        <w:t>- 18/22 - P/19358/2020 économique subi au titre de sa participation obligatoire à la procédure pénale (let. b.) et à une réparation du tort moral subi en raison d'une atteinte particulièrement grave à sa personnalité, notamment en cas de privation de liberté (let. c.). En l'espèce, la prévenue est condamnée, même si la peine prononcée est modifiée. Elle n'a donc droit à aucune indemnité fondée sur cette disposition.</w:t>
      </w:r>
    </w:p>
    <w:p>
      <w:r>
        <w:rPr>
          <w:b/>
        </w:rPr>
        <w:t>E. 6.2</w:t>
      </w:r>
    </w:p>
    <w:p>
      <w:r>
        <w:t>Aux termes de l'art. 436 al. 2 CPP, si ni un acquittement total ou partiel, ni un classement de la procédure ne sont prononcés mais que le prévenu obtient gain de cause sur d'autres points, il a droit à une juste indemnité pour ses dépenses (al. 2). 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À la lumière de ces principes, il y a lieu de retenir que l'autorité pénale amenée à fixer une indemnité sur le fondement de l'art. 436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w:t>
      </w:r>
    </w:p>
    <w:p>
      <w:r>
        <w:t>- 19/22 - P/19358/2020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6.3</w:t>
      </w:r>
    </w:p>
    <w:p>
      <w:r>
        <w:t>En l'espèce, l'appelante obtient partiellement gain de cause et a donc droit à une indemnisation partielle pour la procédure d'appel. De la note d'honoraires produite par son conseil doit cependant être retranché le temps consacré aux conférences avec la cliente des 10 février 2022 et 23 mai 2022, aux divers courriers au TP (15 minutes), à la consultation du dossier au TP (1 heure), à l'étude du dossier et à la préparation en vue de l'audience de première instance (5 heures), de même qu'à l'audience même (1 heure et 35 minutes), activités qui n'ont pas à être indemnisées par la juridiction d'appel. Seront prises en considération 1 heure de conférence du 19 janvier 2023 avec la cliente, suffisante en l'espèce, 15 minutes de courrier divers et 1 heure et 30 minutes de préparation à l'audience d'appel au tarif de chef d'étude (CHF 450.-), plus 30 minutes de courriers divers au tarif de stagiaire (CHF 150.-), auxquelles s'ajoutent encore les deux heures d'audience au tarif de chef d'étude, CHF 200.- de frais et la TVA, en 7.7 %, soit un total de CHF 2'598.25. L'indemnisation accordée sera réduite de trois quarts pour tenir compte du fait que l'appelante n'obtient que partiellement gain de cause, et s'élèvera donc à CHF 649.55. Conformément à l'art. 442 al. 4 CPP, elle sera compensée avec les frais de procédure mis à sa charge (ATF 143 IV 293 consid. 1). * * * * *</w:t>
      </w:r>
    </w:p>
    <w:p>
      <w:r>
        <w:t>- 20/22 - P/19358/2020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