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AARP/13/2015 vom 7. Januar 2015</w:t>
      </w:r>
    </w:p>
    <w:p>
      <w:r>
        <w:t>GE Cour de justice, 2015-01-07, FR</w:t>
      </w:r>
    </w:p>
    <w:p>
      <w:r>
        <w:rPr>
          <w:b/>
        </w:rPr>
        <w:t xml:space="preserve">Quelle: </w:t>
      </w:r>
      <w:r>
        <w:t>https://mcp.opencaselaw.ch/entscheid/ge_gerichte_AARP_13_2015</w:t>
      </w:r>
    </w:p>
    <w:p>
      <w:r>
        <w:t>FR: GE_GERICHTE AARP/13/2015 du 7 janvier 2015</w:t>
      </w:r>
    </w:p>
    <w:p>
      <w:r>
        <w:t>IT: GE_GERICHTE AARP/13/2015 del 7 gennaio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w:t>
      </w:r>
    </w:p>
    <w:p>
      <w:r>
        <w:t>Cette disposition protège la réputation d'être une personne honorable, c'est-à-dire de se comporter comme une personne digne a coutume de le faire selon les conceptions généralement reçues.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 arrêt du Tribunal fédéral 6B_356/2008 du 11 août 2008 consid. 4.1).</w:t>
      </w:r>
    </w:p>
    <w:p>
      <w:r>
        <w:t>- 7/13 - P/16761/2011 Le fait d'accuser une personne d'avoir commis un crime ou un délit intentionnel entre dans les prévisions de l'art. 173 ch. 1 CP (ATF 132 IV 112 consid. 2.2 p. 115 ; 118 IV 248 consid. 2b p. 250s ; arrêt du Tribunal fédéral 6B_138/2008 du 22 janvier 2009 consid. 3.1). 2.1.2 Pour qu'il y ait diffamation, il faut encore que l'auteur s'adresse à un tiers. Est en principe considérée comme tiers toute personne autre que l'auteur et l'objet des propos qui portent atteinte à l'honneur (ATF 86 IV 209).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(voir arrêt 6S.3/2007 du 13 février 2007 consid. 4.3 et les références citées). Dans un arrêt non publié du 11 juillet 1957 (cité dans l'ATF 86 IV 209),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Dans l'arrêt 6S.608/1991 du 24 janvier 1992, se référant à l'art. 321 CP concernant la violation du secret professionnel, il a considéré un médecin comme un confident nécessaire et a admis qu'il n'était pas un tiers au sens de l'art. 173 al. 1 ch. 1 CP.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(arrêt du Tribunal fédéral 6b_185/2011 du 22 décembre 2011, consid. 6.2 et les références citées). Récemment, le Tribunal fédéral a précisé que la qualité de confident nécessaire ne saurait se résumer au devoir de confidentialité ou de secret mais vise des situations dans lesquelles ces devoirs découlent aussi d'un rapport particulier entre le déclarant et le destinataire (arrêt 6B_698/2012 du 28 janvier 2013, consid. 3.2.1). Sur le plan subjectif, l'auteur doit avoir l'intention de divulguer l'information à un tiers (M. DUPUIS / B. GELLER / G. MONNIER / L. MOREILLON / C. PIGUET / C. BETTEX / D. STOLL (éds), Code pénal - Petit commentaire, Bâle 2012, n. 23 ad art. 173). 2.2.1 En l'espèce, eu égard aux principes jurisprudentiels susmentionnés, force est de constater que le contenu des allégations litigieuses, qui laissent entendre que l'appelant aurait adopté un comportement pénalement répréhensible, est clairement attentatoire à l'honneur de ce dernier.</w:t>
      </w:r>
    </w:p>
    <w:p>
      <w:r>
        <w:t>Reste donc à examiner si les destinataires du courriel avaient la qualité de tiers.</w:t>
      </w:r>
    </w:p>
    <w:p>
      <w:r>
        <w:t>- 8/13 - P/16761/2011</w:t>
      </w:r>
    </w:p>
    <w:p>
      <w:r>
        <w:t>2.2.2 Au cours de la procédure, le prévenu a évoqué à diverses reprises les liens forts existant entre lui et ses deux sœurs. Il ressort du dossier qu'ils sont tous trois très proches et se font régulièrement part de confidences mutuelles. La preuve en est notamment que le prévenu leur avait déjà rapporté les faits dénoncés dans le courriel litigieux, et ce avant même son envoi. Les mêmes conclusions doivent prévaloir en ce qui concerne l'avocat chargé de la succession qui, outre sa qualité d'homme de loi, est un ami de longue date du prévenu, à qui ce dernier a l'habitude de se confier. Il était d'ailleurs lui aussi au courant des faits avant d'accuser réception du courriel.</w:t>
      </w:r>
    </w:p>
    <w:p>
      <w:r>
        <w:t>Ainsi, au regard de la jurisprudence précitée, il sied de leur reconnaître la qualité de confident nécessaire. Tant ses deux sœurs que son avocat entretiennent avec le prévenu des liens très étroits, de sorte que la qualification de tiers doit être écartée en ce qui les concerne.</w:t>
      </w:r>
    </w:p>
    <w:p>
      <w:r>
        <w:t>Il en est de même s'agissant de l'épouse de l'appelant, qui doit également bénéficier du statut de confidente nécessaire, celle-ci faisant sans conteste partie du cercle familial étroit du prévenu. En outre, l'appelant faisant usage de son adresse électronique – qu'il prétend commune à son épouse et lui – dans les affaires le concernant personnellement, et notamment dans le cadre de la succession de sa mère, rien ne permettait au prévenu de savoir que sa belle-sœur était également destinataire de son courriel. Il ne s'est donc pas intentionnellement adressé à elle, de sorte que la composante subjective n'est en tout état de cause pas réalisée.</w:t>
      </w:r>
    </w:p>
    <w:p>
      <w:r>
        <w:t>Au vu de ce qui précède, la question de la preuve libératoire n'avait pas à être abordée par le juge de première instance, à l'instar de la compétence limitée de la CPAR, cette particularité du traitement judiciaire des atteintes contre l'honneur dut- elle être incomprise de l'appelant. Cela étant, il convient de confirmer le jugement de première instance, qui a, sur la base de l'art. 173 ch. 1 CP, acquitté le prévenu du chef de diffamation, pour des motifs juridiquement pertinents.</w:t>
      </w:r>
    </w:p>
    <w:p>
      <w:r>
        <w:rPr>
          <w:b/>
        </w:rPr>
        <w:t>E. 3.1</w:t>
      </w:r>
    </w:p>
    <w:p>
      <w:r>
        <w:t>En vertu de l'art. 126 al. 1 let. b CPP, le tribunal statue sur les prétentions civiles présentées lorsqu'il acquitte le prévenu et que l'état de fait est suffisamment établi. L'art. 49 CO stipule que celui qui subit une atteinte illicite à sa personnalité a droit à une somme d’argent au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w:t>
      </w:r>
    </w:p>
    <w:p>
      <w:r>
        <w:t>- 9/13 - P/16761/2011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6S.320/2005 du 10 janvier 2006 consid. 10.2). L’atteinte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 s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p. 29 ; arrêt du Tribunal fédéral 1B_648/2012 du 11 juillet 2013 consid. 1.2). A défaut, aucune indemnisation ne peut être accordée (arrêt du Tribunal fédéral 6B_400/2008 du 7 octobre 2008 consid. 6.1).</w:t>
      </w:r>
    </w:p>
    <w:p>
      <w:r>
        <w:rPr>
          <w:b/>
        </w:rPr>
        <w:t>E. 3.2</w:t>
      </w:r>
    </w:p>
    <w:p>
      <w:r>
        <w:t>En l'espèce, le prévenu réclame une indemnité de CHF 10'000.- à titre de réparation de son tort moral.</w:t>
      </w:r>
    </w:p>
    <w:p>
      <w:r>
        <w:t>Une lecture attentive du dossier, et notamment de ses déclarations, ne permet pas de conclure à des souffrances dépassant le seuil au-delà duquel une indemnité pour tort moral est due. Plus que la procédure pénale en tant que telle, il semble du reste que les actes qu'il dit avoir subis dans son enfance soient la source principale de ses souffrances. Le long silence qu'il s'est imposé par respect pour ses parents a assurément contribué à une amplification de son sentiment de honte, sans qu'il ne puisse s'en libérer. L'intimé ne parvient pas à démontrer en quoi il aurait subi une atteinte qui excède celle que tout citoyen impliqué dans une procédure pénale doit en principe supporter sans indemnité, même dans un cadre familial étroit où le poids du silence est lourd. Or, le droit à l'indemnisation pour tort moral est légitimé par une</w:t>
      </w:r>
    </w:p>
    <w:p>
      <w:r>
        <w:t>- 10/13 - P/16761/2011 atteinte autrement plus significative que celle subie, sans pour autant la minimiser. En l'absence d'éléments concrets permettant de retenir l'existence d'une atteinte subjectivement grave, aucune indemnité ne peut entrer en ligne de compte. Partant, les conditions à l'octroi d'une indemnité en réparation du tort moral ne sont pas réalisées. La prétention formulée à ce titre doit dès lors être rejetée.</w:t>
      </w:r>
    </w:p>
    <w:p>
      <w:r>
        <w:rPr>
          <w:b/>
        </w:rPr>
        <w:t>E. 4.1</w:t>
      </w:r>
    </w:p>
    <w:p>
      <w:r>
        <w:t>Aux termes de l'art. 429 al. 1 let. a CPP, le prévenu acquitté partiellement ou totalement a le droit à une indemnité notamment pour les dépenses occasionnées par l'exercice raisonnable de ses droits de procédure.</w:t>
      </w:r>
    </w:p>
    <w:p>
      <w:r>
        <w:t>S'agissant des frais de défense, l'indemnité est due pour autant que l'assistance d'un avocat ait été nécessaire, compte tenu de la complexité de l'affaire en fait ou en droit, et que l'activité déployée par celui-ci soit justifiée (Message relatif à l'unification du droit de la procédure pénale (CPP) du 21 décembre 2005, FF 2006 1309, p. 1313 ; ATF 138 IV 197 consid. 2.3.4 p. 203). Ainsi, l'autorité pénale amenée à fixer une indemnité sur le fondement de l'art. 429 al. 1 let. a CPP n'a pas à avaliser purement et simplement les notes d'honoraires d'avocat qui lui sont soumises.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Quand le prévenu est acquitté par un jugement de première instance, un arrêt d'appel ou du Tribunal fédéral, les prétentions en indemnisation sont de la compétence de la juridiction qui s'est prononcée en dernier sur le fond (A. KUHN / Y. JEANNERET (éds), Commentaire romand : Code de procédure pénale suisse, Bâle 2011, n. 53 ad art. 429).</w:t>
      </w:r>
    </w:p>
    <w:p>
      <w:r>
        <w:t>L'art. 429 al. 2 CPP prévoit que l'autorité pénale examine d'office les prétentions du prévenu et peut enjoindre à celui-ci de les chiffrer et de les justifier. Il en résulte qu'il incombe à l'autorité pénale, à tout le moins, d'interpeller le prévenu afin de lui permettre de justifier ses prétentions. Lorsque le prévenu ne réagit pas à l'invitation faite par l'autorité, son comportement passif peut le cas échéant équivaloir à une renonciation à une indemnisation, en particulier s'il ne peut pas se prévaloir d'un empêchement. L'absence de réaction implique que le prévenu est forclos, de sorte que l'indemnisation ne peut intervenir dans une procédure ultérieure (arrêt du Tribunal fédéral 6B_842/2014 du 3 novembre 2014 consid. 2.1 et les références citées ; 1B_475/2011 du 11 janvier 2012 consid. 2.3).</w:t>
      </w:r>
    </w:p>
    <w:p>
      <w:r>
        <w:t>- 11/13 - P/16761/2011</w:t>
      </w:r>
    </w:p>
    <w:p>
      <w:r>
        <w:rPr>
          <w:b/>
        </w:rPr>
        <w:t>E. 4.2</w:t>
      </w:r>
    </w:p>
    <w:p>
      <w:r>
        <w:t>En l'espèce, le prévenu réclame le versement en sa faveur d'une indemnité de CHF 16'000.- au titre de dépenses occasionnées par l'exercice raisonnable de ses droits de procédure en première instance. A titre liminaire, il sied de préciser qu'étant assisté d'un avocat, on aurait pu s'attendre à ce que le prévenu formule ses prétentions en indemnisation en première instance, bien qu'il n'ait pas été dûment sommé de le faire par l'autorité de jugement, ce dont il n'a pas à souffrir. L'intimé n'est donc pas forclos à agir en appel. L'acquittement prononcé en sa faveur fait que le droit à une telle indemnité lui est acquis. L'assistance d'un avocat était nécessaire à l'intimé au regard des particularités du cas et des subtilités juridiques non accessibles à un profane. Toutefois, la note d'honoraires fournie en appel ne fait aucunement état du tarif horaire dont il est fait usage et ne fait pas davantage mention du coût relatif aux différentes opérations effectuées, se contentant d'afficher une liste des activités déployées et un total final. L'appréciation de l'adéquation des activités facturées en lien avec la complexité de l'affaire est ainsi rendue impossible, de telle manière qu'il se justifie de fixer le montant de l'indemnité ex aequo et bono. La somme requise à ce titre excédant celle qu'il paraît raisonnable d'octroyer pour une affaire de ce type, elle sera réduite en conséquence et rapportée à CHF 5'000.-.</w:t>
      </w:r>
    </w:p>
    <w:p>
      <w:r>
        <w:rPr>
          <w:b/>
        </w:rPr>
        <w:t>E. 4.3</w:t>
      </w:r>
    </w:p>
    <w:p>
      <w:r>
        <w:t>En ce qui concerne les honoraires d’avocat réclamés par le prévenu pour la procédure d’appel, il sied de constater qu'aucun justificatif n'a été fourni, de sorte qu'il est impossible de vérifier l'adéquation de l'activité déployée au regard du montant réclamé à titre d'indemnité. Eu égard à la complexité de l'affaire, toute relative, la somme demandée, soit CHF 7'000.-, semble en tout état largement excessive. Il se justifie donc de la réduire et de la fixer ex aequo et bono. Un montant de CHF 2'000.-, TVA comprise, apparaît ainsi proportionné.</w:t>
      </w:r>
    </w:p>
    <w:p>
      <w:r>
        <w:rPr>
          <w:b/>
        </w:rPr>
        <w:t>E. 5</w:t>
      </w:r>
    </w:p>
    <w:p>
      <w:r>
        <w:t>Vu l'issue de l'appel, les conclusions civiles formées par l'appelant seront rejetées.</w:t>
      </w:r>
    </w:p>
    <w:p>
      <w:r>
        <w:rPr>
          <w:b/>
        </w:rPr>
        <w:t>E. 6</w:t>
      </w:r>
    </w:p>
    <w:p>
      <w:r>
        <w:t>L'appelant, qui succombe, sera astreint au paiement des trois quarts des frais de la procédure d'appel, qui comprennent en totalité un émolument de jugement de CHF 1'200.- (art. 428 al. 1 CPP et 14 al. 1 let. e du Règlement fixant le tarif des frais en matière pénale, du 22 décembre 2010 [RTFMP ; RS/GE E 4 10.03]).</w:t>
      </w:r>
    </w:p>
    <w:p>
      <w:r>
        <w:t>L'appelant joint, qui succombe partiellement sur le volet civil, supportera un quart de ces frais. * * * * *</w:t>
      </w:r>
    </w:p>
    <w:p>
      <w:r>
        <w:t>- 12/13 - P/16761/2011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