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AARP/13/2014 vom 7. Januar 2014</w:t>
      </w:r>
    </w:p>
    <w:p>
      <w:r>
        <w:t>GE Cour de justice, 2014-01-07, FR</w:t>
      </w:r>
    </w:p>
    <w:p>
      <w:r>
        <w:rPr>
          <w:b/>
        </w:rPr>
        <w:t xml:space="preserve">Quelle: </w:t>
      </w:r>
      <w:r>
        <w:t>https://mcp.opencaselaw.ch/entscheid/ge_gerichte_AARP_13_2014</w:t>
      </w:r>
    </w:p>
    <w:p>
      <w:r>
        <w:t>FR: GE_GERICHTE AARP/13/2014 du 7 janvier 2014</w:t>
      </w:r>
    </w:p>
    <w:p>
      <w:r>
        <w:t>IT: GE_GERICHTE AARP/13/2014 del 7 gennaio 2014</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- 9/19 - P/13726/2012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Convention de sauvegarde des droits de l’homme et des libertés fondamentales du 4 novembre 1950 [CEDH ; RS 0.101] et, sur le plan interne, par l'art. 32 al. 1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2.2.1 Les actes visés par l'art. 19 ch. 1 let. a à f de la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w:t>
      </w:r>
    </w:p>
    <w:p>
      <w:r>
        <w:t>- 10/19 - P/13726/2012 2.2.2 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l'héroïne, cette dernière condition est objectivement remplie, selon la jurisprudence développée sous l'ancien droit, dès que l'infraction porte sur une quantité d'au moins 12 grammes de drogue pure (ATF 119 IV 180 ; arrêt du Tribunal fédéral 6B_908/2008 du 5 février 2009 consid. 4.1.; B. CORBOZ, Les infractions en droit suisse, 3e édition, Berne 2010, vol. II, n. 81 p. 917). Si l'auteur commet plusieurs actes distincts, les quantités qui en sont l'objet doivent être additionnées (ATF 112 IV 109 consid. 2b p. 113). En l'absence d'analyse de la drogue saisie et faute d'autres éléments, le juge peut admettre sans arbitraire que la drogue était d'une qualité moyenne et se référer au degré de pureté habituel sur le marché à l'époque et au lieu en question (B. CORBOZ, op. cit., n. 86 p. 918).</w:t>
      </w:r>
    </w:p>
    <w:p>
      <w:r>
        <w:rPr>
          <w:b/>
        </w:rPr>
        <w:t>E. 2.3</w:t>
      </w:r>
    </w:p>
    <w:p>
      <w:r>
        <w:t>L’art. 305 bis ch. 1 CP prévoit que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Dans les cas graves, la peine sera une peine privative de liberté de cinq ans au plus ou une peine pécuniaire. En cas de peine privative de liberté, une peine pécuniaire de 500 jours-amende au plus est également prononcée (art. 305 bis ch. 2 al. 1 CP). Le cas est grave notamment lorsque le délinquant réalise un chiffre d’affaires ou un gain importants en faisant métier de blanchir de l’argent (art. 305 bis ch. 2 al. 2 let. c CP). Le blanchiment d’argent est une infraction de mise en danger abstraite, et non pas de résultat (ATF 128 IV 117 consid. 7a p. 131 ; ATF 127 IV 20 consid. 3a p. 25 ss).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ATF 119 IV 242 consid. 1a p. 243). Selon la jurisprudence, sont notamment constitutifs d’un acte d’entrave au sens de l’art. 305 bis CP, la dissimulation d’argent provenant d’un trafic de drogue, par exemple dans la cuisine, chez un tiers, dans une cachette aménagée, le placement d’un tel argent, la conversion en d’autres devises ou l’échange de coupures, le transfert international de fonds (ATF 127 IV 24 ; 122 IV 211 ; 119 IV 242 ; 119 IV 59 ; B. CORBOZ. op. cit, 305 bis CP, no 25, p. 635 ; U. CASSANI, Commentaire du droit pénal suisse, partie spéciale, vol. 9, 1996, n. 37 ad art. 305 bis CP). Commet ainsi un acte d’entrave, celui qui conserve de l’argent d’origine criminelle dans son</w:t>
      </w:r>
    </w:p>
    <w:p>
      <w:r>
        <w:t>- 11/19 - P/13726/2012 appartement, lorsqu’il résulte des circonstances qu’il a mis son appartement à disposition pour qu’il serve de cachette provisoire à l’argent (cf. arrêt du Tribunal fédéral 6S.702/2000 du 14 août 2008 consid. 2.2 ; 6B_621/2008 du 20 mai 2009 consid 2.1). En revanche, un simple versement d’argent provenant d’un trafic de drogue sur un compte bancaire personnel, ouvert au lieu de son domicile et servant aux paiements privés habituels, ne constitue pas un acte d’entrave (ATF 124 IV 274 consid. 4a p. 278/279), pas plus que la simple possession ou garde d’argent de provenance délictueuse (ATF 128 IV 117 consid. 7a p. 131/132).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Le Tribunal fédéral a par exemple admis que l’indication dans l’acte d’accusation selon laquelle la « somme [en cause] provenait d’un trafic de stupéfiant » était une description suffisante du crime préalable (arrêt 6B_489/2013 du 9 juillet 2013 consid. 1.4). 2.4.1.1 En l'espèce, il est établi que C______ était impliqué dans un trafic d’héroïne et allait au contact des toxicomanes, sur le "plan". Ce prévenu a été observé par la police alors qu’il retournait à l’appartement qu’il occupait avec l’appelant après une transaction et les deux hommes avaient, au cours de la journée, eu douze échanges téléphoniques. Contrairement à ce qu’il prétend, l’appelant était en rapport étroit avec cet individu, qu’il a présenté à son amie intime comme étant un cousin, et que celle-ci a rencontré tant à son domicile en Albanie que dans l’appartement précité. Le téléphone portable de l’appelant comportait des messages codés en langue albanaise et ses explications, au demeurant tardives, au sujet d’une utilisation par des tiers lorsqu’il se séparait de son appareil pour se rendre à la salle de bain, sont à l’évidence farfelues. L’appelant avait la maîtrise d’une importante somme d’argent, composée de petites coupures en euros, ce qui est cohérent avec un trafic de stupéfiants s’adressant principalement à des toxicomanes venant de France. Cet argent a nécessairement un lien étroit avec lui, puisqu’il l’a entreposé au domicile de son amie intime, mère de son fils, et que son frère était censé le récupérer. Le choix du dépositaire suffit pour exclure toute vraisemblance de ses explications, par ailleurs vagues et en tout état guère crédibles, sur deux mystérieux Albanais qui lui auraient confié cet argent en vue de son transport, et dont des représailles seraient à craindre, dès lors qu’il est hautement improbable qu’il aurait voulu ainsi exposer ses proches.</w:t>
      </w:r>
    </w:p>
    <w:p>
      <w:r>
        <w:t>- 12/19 - P/13726/2012 En outre, d’autres sommes d’argent ont été trouvées dans l’appartement où logeaient l’appelant et C______ et le premier, qui ne prétend pas avoir une source de revenus réguliers licite, menait un train de vie relativement confortable, invitant son amie au restaurant, à l’hôtel ou l’emmenant en voyage dans son pays. Ces divers éléments sont les indices concordants d’un trafic de stupéfiants comportant au moins un « ouvrier », en la personne de C______, et un chef, en celle de l’appelant, qui donnait les instructions pour les livraisons d'héroïne au premier et collectait les fruits du trafic de drogue. Vu l'importante somme d'argent saisie au domicile de l’amie de l’appelant, le trafic a nécessairement porté sur une quantité importante de stupéfiants de sorte que la circonstance aggravante de l’art. 19 al. 2 let. a LStup est réalisée. L’appelant n’a d’ailleurs pas contesté cette qualification juridique, pour le cas où son implication serait retenue. Le jugement entrepris sera par conséquent confirmé sur ce point. 2.4.1.2 Vu la confirmation de culpabilité de l'appelant du chef de la principale infraction reprochée dans l'acte d'accusation du 10 avril 2013, l'accusation alternative d'infraction à l'art. 305 bis CP est sans objet. 2.4.2 L'appelante ne connaissait pas d’activité professionnelle à son ami intime, qui parvenait tout de même à louer un appartement, à voyager en Albanie et à lui offrir des nuits d'hôtels et des repas au restaurant. La nouvelle version livrée en appel selon laquelle l’appelant aurait déposé le sac contenant l’argent dans l’appartement sans lui laisser de choix, sera écartée, pour ne pas correspondre aux précédentes déclarations de l’appelante. Celle-ci a admis avoir pensé que l'appelant faisait des "trucs pas nets", tout comme elle a expliqué ses réticences à l’idée de conserver l’argent litigieux à son domicile par la crainte de perdre son fils ou encore affirmé qu’elle n’aurait pas exécuté d’éventuelles instructions de peur de s’impliquer davantage. Aussi l’appelante a-t-elle au moins eu un doute sur la provenance illicite des fonds reçus, dont elle a accepté qu’il fût fondé, procédant néanmoins ; eu égard à l’importance de la somme en question, dont elle a eu connaissance, elle n’a pas pu penser qu’il ait pu avoir été obtenu par la commission d’une infraction mineure. Vu sa précédente condamnation, elle était d’ailleurs plus qu’une autre personne en mesure d’appréhender la situation. Il sera ainsi retenu que l’appelante a accepté de détenir à son domicile des fonds de provenance criminelle, ce qu’elle a, à tout le moins envisagé et accepté. À compter de l’arrestation de son ami, elle ne pouvait plus avoir le moindre doute, de sorte que d’éventuel, le dol est devenu direct. L’élément constitutif de l’entrave est également réalisé, car en acceptant d’abriter les fonds provenant du trafic de drogue au domicile d’une famille ordinaire et sans liens apparents avec le trafic de stupéfiants, dans une armoire abritant les effets personnels de la jeune mère qu’elle était et de son enfant, l’appelante a rendu plus difficile</w:t>
      </w:r>
    </w:p>
    <w:p>
      <w:r>
        <w:t>- 13/19 - P/13726/2012 l’identification et la confiscation de ces fonds. Le subterfuge a d’ailleurs failli aboutir, seule l’instruction maladroitement déguisée contenue dans le courrier de l’appelant A______ ayant éveillé les soupçons du Ministère public. La déclaration de culpabilité de l'appelante du chef de blanchiment d'argent sera partant aussi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3.1.2 En matière d'infractions à la LStup, le Tribunal fédéral a souligné à maintes reprises que la quantité de drogue sur laquelle a porté le trafic, comme le degré de pureté de celle-ci, n'a pas une importance prépondérante pour la fixation de la peine (cf. arrêts du Tribunal fédéral 6B_706/2008 du 3 décembre 2008 consid. 2.2). Il s'agit d'un élément pertinent pour apprécier la gravité de la faute, mais qui doit être apprécié conjointement avec les autres facteurs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(ATF 121 IV 202 consid. 2d/aa p. 204 ; 118 IV 342 consid. 2d p. 349).</w:t>
      </w:r>
    </w:p>
    <w:p>
      <w:r>
        <w:t>- 14/19 - P/13726/2012 3.2.1 Selon l'art. 48 lit. a ch. 2 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 Le fait qu’elle résulte d’une faute ou d’une négligence de l’auteur de l’infraction ne suffit pas à exclure l’application de l’art. 48 lit. a ch. 2 CP. De plus, le bénéfice de cette circonstance atténuante ne peut être accordé que si l'auteur a respecté une certaine proportionnalité entre les motifs qui le poussent et l'importance du bien qu'il lèse (arrêt du Tribunal fédéral 6B_13/2009 du 9 février 2009 consid. 4.1, avec référence à l’ATF 110 IV 9 consid. 2 p. 10). 3.2.2 À teneur de l'art. 48 lit. a ch. 4 CP, le juge atténue la peine si l'auteur a agi sous l'ascendant d'une personne à laquelle il devait obéissance ou de laquelle il dépendait. La dépendance peut résulter de la loi ou de rapports de faits, tels que le concubinage. Les circonstances concrètes du cas doivent être prises en compte, telles que la situation financière, la personnalité plus ou moins forte des intéressés, l'intensité et les caractéristiques de leurs relations réciproques. L'état de dépendance ne suffit pas en soi; l'infraction doit en outre avoir été commise à l'instigation de la personne dont l'auteur dépend (ATF 115 IV 8 consid. II/a, ATF 102 IV 237, JdT 1978 IV 36, CR CP-I PELLET, N 25 ad art. 48).</w:t>
      </w:r>
    </w:p>
    <w:p>
      <w:r>
        <w:rPr>
          <w:b/>
        </w:rPr>
        <w:t>E. 3.3</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3.4</w:t>
      </w:r>
    </w:p>
    <w:p>
      <w:r>
        <w:t>Conformément à l'art. 34 CP, la peine pécuniaire est fixée en jours-amende dont le tribunal fixe le nombre en fonction de la culpabilité de l'auteur (al. 1). Un jour- amende est de 3'000 francs au plus. Le juge en arrête le montant selon la situation</w:t>
      </w:r>
    </w:p>
    <w:p>
      <w:r>
        <w:t>- 15/19 - P/13726/2012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w:t>
      </w:r>
    </w:p>
    <w:p>
      <w:r>
        <w:rPr>
          <w:b/>
        </w:rPr>
        <w:t>E. 3.5</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w:t>
      </w:r>
    </w:p>
    <w:p>
      <w:r>
        <w:rPr>
          <w:b/>
        </w:rPr>
        <w:t>E. 3.5.1</w:t>
      </w:r>
    </w:p>
    <w:p>
      <w:r>
        <w:t>La faute de l'appelant est lourde. À la tête d’une cellule comportant au moins lui-même et un ouvrier, exposé en premier lieu au risque d’arrestation, il a participé à un trafic néfaste pour la santé publique. Il n’a de surcroît pas hésité à entraîner sa</w:t>
      </w:r>
    </w:p>
    <w:p>
      <w:r>
        <w:t>- 16/19 - P/13726/2012 jeune compagne dans une activité illicite connexe au trafic et particulièrement importante, ce qui lui permettait de profiter sans entraves des fruits de son trafic. Sa collaboration à la procédure a été exécrable. Il a certes admis se trouver sans droit en Suisse mais s’est évertué à nier les faits les plus graves, inventant des explications toujours plus farfelues et s’enferrant dans le déni. Il n’y a chez lui ni prise de conscience ni, a fortiori, quelque amendement, son seul réel regret semblant être d’avoir ainsi exposé la mère de son fils. Son mobile relève uniquement de l'appât du gain, étant rappelé que l’intéressé n’est pas toxicomane. Il a déjà été précédemment condamné pour une infraction aux dispositions régissant le séjour des étrangers, ce qui est un signe supplémentaire du peu de cas qu’il fait des normes en vigueur. Sa décision de verser dans le trafic de stupéfiants, qui plus est à un tel niveau, est d’autant plus incompréhensible que sa situation personnelle était relativement bonne, dans la mesure où il avait eu des emplois en Italie et avait noué une relation stable avec l’autre appelante, dont il venait d’avoir un fils.</w:t>
      </w:r>
    </w:p>
    <w:p>
      <w:r>
        <w:rPr>
          <w:b/>
        </w:rPr>
        <w:t>E. 3.5.2</w:t>
      </w:r>
    </w:p>
    <w:p>
      <w:r>
        <w:t>Au vu de l'ensemble des circonstances, une peine sévère s'impose. Il y a concours d'infractions (art. 49 al. 1 CP), ce qui justifie une augmentation de la peine dans une juste proportion. La quotité de quatre ans prononcée par les premiers juges est équitable, quand bien même elle est incompatible avec le prononcé du sursis, dont la condition subjective n'est de toute façon pas réalisée. De même, les premiers juges ont à juste titre révoqué le précédent sursis, vu la récidive spécifique accompagnée de la commission d’une infraction de gravité nettement plus importante et l’absence de toute prise de conscience. 3.6.1 La faute de l'appelante est au moins de gravité moyenne. Celle-ci s'est facilement accommodée d'une situation qu'elle savait illicite, agissant sans doute par faiblesse de caractère et n’hésitant pas à impliquer indirectement sa famille pour avoir utilisé l’appartement familial, alors qu'elle avait la responsabilité d’un petit enfant et se savait sous le coup d’un sursis. Sa situation n’était certes pas facile au plan matériel - encore qu’elle bénéficiait du soutien de sa famille - mais elle ne prétend pas avoir agi pour échapper à cette condition. Le seul souci de ne pas fâcher l’homme aimé, père de son enfant, ne saurait être assimilé à un état de détresse profonde. Il ne peut non plus être retenu que l'appelante ait agi sous son ascendant, étant rappelé que le couple ne vivait pas en concubinage et que son ami n’assurait pas l’entretien de la famille. Les allégations de violences sont peu crédibles, pour être tardives ; de surcroît, l’appelante s’est empressée d’expliquer qu’il ne s’agissait pas d’actes d’une gravité propre à créer une véritable situation d’emprise et qu’au contraire, elle avait trouvé la force d’exiger qu’ils cessent. La coutume patriarcale dont est issu l’appelant A______, qui a au demeurant affirmé que son amie n’était pas une femme soumise, ne crée pas un</w:t>
      </w:r>
    </w:p>
    <w:p>
      <w:r>
        <w:t>- 17/19 - P/13726/2012 devoir d’obéissance. L’appelante ne peut par conséquent se prévaloir d’aucune circonstance atténuante, ce d'autant qu'elle est née et a grandi en Suisse. À décharge, il sera retenu que la collaboration à la procédure a été plutôt bonne. Néanmoins, l’appelante a tendance à ne pas assumer la pleine responsabilité de son acte, se présentant comme une victime des circonstances, de sorte qu’elle doit encore travailler sur le chemin de la prise de conscience. Au regard à l’ensemble de ces circonstances, la quotité de la peine de six mois fixée par les premiers juges est adéquate et doit être confirmée. 3.6.2 C’est en revanche à raison que l'appelante requiert le prononcé d'une peine pécuniaire, celle-ci étant compatible avec ses projets de formation professionnelle et la charge de son enfant. Eu égard à ses moyens limités, une peine à CHF 10.- le jour- amende sera prononcée. 3.6.3 Quoiqu’en dise l’appelante, les circonstances ne sont pas particulièrement favorables au sens de l’art. 42 al. 2 CP. Celle-ci a en effet récidivé dans le délai d’épreuve et l’infraction sous-jacente à celle nouvellement commise relève, comme la précédente, du trafic de stupéfiants. Ainsi qu’il vient d’être retenu, la prise de conscience n’est qu’embryonnaire. La présence de l’enfant n’est pas une garantie d’un bon comportement, dès lors qu’elle n’a pas constitué un empêchement lorsqu’il s’est agi de céder à la demande de l’appelant A______. Le jugement entrepris sera par conséquent confirmé dans la mesure où il lui refuse le bénéfice d’un nouveau sursis. 3.6.4 La renonciation à la révocation du précédent sursis est quant à elle acquise, faute d'un appel du Ministère public.</w:t>
      </w:r>
    </w:p>
    <w:p>
      <w:r>
        <w:rPr>
          <w:b/>
        </w:rPr>
        <w:t>E. 4</w:t>
      </w:r>
    </w:p>
    <w:p>
      <w:r>
        <w:t>Les frais de la procédure d’appel, comprenant un émolument de décision de CHF 2'000.- (art. 14 al. 1 let. e du règlement fixant le tarif des frais en matière pénale du 22 décembre 2010 (RTFMP ; RS E 4 10.03), seront répartis à raison de trois quarts à charge de l’appelant, qui succombe intégralement, et d’un quart pour l’appelante, qui n’obtient gain de cause que dans une faible mesure (art. 428 CPP). * * * * *</w:t>
      </w:r>
    </w:p>
    <w:p>
      <w:r>
        <w:t>- 18/19 - P/13726/2012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