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AARP/138/2019 vom 9. Oktober 2018</w:t>
      </w:r>
    </w:p>
    <w:p>
      <w:r>
        <w:t>GE Cour de justice, 2018-10-09, FR</w:t>
      </w:r>
    </w:p>
    <w:p>
      <w:r>
        <w:rPr>
          <w:b/>
        </w:rPr>
        <w:t xml:space="preserve">Quelle: </w:t>
      </w:r>
      <w:r>
        <w:t>https://mcp.opencaselaw.ch/entscheid/ge_gerichte_AARP_138_2019</w:t>
      </w:r>
    </w:p>
    <w:p>
      <w:r>
        <w:t>FR: GE_GERICHTE AARP/138/2019 du 9 octobre 2018</w:t>
      </w:r>
    </w:p>
    <w:p>
      <w:r>
        <w:t>IT: GE_GERICHTE AARP/138/2019 del 9 ottobre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cette issue, les frais de la procédure de première instance – que la CPAR est tenue de revoir lorsqu'elle rend une nouvelle décision (art. 428 al. 3 CPP) – et d'appel seront laissés à la charge de l'Etat (art. 426 al. 1 et 428 al. 1 CPP).</w:t>
      </w:r>
    </w:p>
    <w:p>
      <w:r>
        <w:rPr>
          <w:b/>
        </w:rPr>
        <w:t>E. 4</w:t>
      </w:r>
    </w:p>
    <w:p>
      <w:r>
        <w:t>L'appelant ayant renoncé à toute indemnisation, aucun montant ne lui sera alloué à ce titre.</w:t>
      </w:r>
    </w:p>
    <w:p>
      <w:r>
        <w:rPr>
          <w:b/>
        </w:rPr>
        <w:t>E. 5</w:t>
      </w:r>
    </w:p>
    <w:p>
      <w:r>
        <w:t>Considéré globalement, l’état de frais produit par le défenseur d'office paraît adéquat et conforme aux dispositions et principes régissant l'assistance judiciaire pénale.</w:t>
      </w:r>
    </w:p>
    <w:p>
      <w:r>
        <w:t>Sa rémunération sera ainsi arrêtée à CHF 1'457.- pour 05h15 d'activité au tarif de CHF 200.-/heure (CHF 1'050.-), plus la majoration forfaitaire de 20% (CHF 210.-) et la TVA au taux de 7.7% (CHF 97.-), ainsi que le déplacement à l'audience d'appel (CHF 100.-).</w:t>
      </w:r>
    </w:p>
    <w:p>
      <w:r>
        <w:t>* * * * *</w:t>
      </w:r>
    </w:p>
    <w:p>
      <w:r>
        <w:t>- 12/13 - P/373/2018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