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AARP/137/2026 vom 23. April 2026</w:t>
      </w:r>
    </w:p>
    <w:p>
      <w:r>
        <w:t>GE Cour de justice, 2026-04-23, FR</w:t>
      </w:r>
    </w:p>
    <w:p>
      <w:r>
        <w:rPr>
          <w:b/>
        </w:rPr>
        <w:t xml:space="preserve">Quelle: </w:t>
      </w:r>
      <w:r>
        <w:t>https://mcp.opencaselaw.ch/entscheid/ge_gerichte_AARP_137_2026</w:t>
      </w:r>
    </w:p>
    <w:p>
      <w:r>
        <w:t>FR: GE_GERICHTE AARP/137/2026 du 23 avril 2026</w:t>
      </w:r>
    </w:p>
    <w:p>
      <w:r>
        <w:t>IT: GE_GERICHTE AARP/137/2026 del 23 aprile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Depuis le 7 mars 2023, l'inscription de l'expulsion dans le SIS est régie par le règlement (UE) n° 2018/1861 du Parlement européen et du Conseil du 28 novembre 2018 (Règlement SIS Frontières). Son art. 24 § 1 let. a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w:t>
      </w:r>
    </w:p>
    <w:p>
      <w:r>
        <w:rPr>
          <w:b/>
        </w:rPr>
        <w:t>E. 2.2</w:t>
      </w:r>
    </w:p>
    <w:p>
      <w:r>
        <w:t>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w:t>
      </w:r>
    </w:p>
    <w:p>
      <w:r>
        <w:t>- 4/9 - P/17734/2025 de la société (ATF 147 IV 340 consid. 4.8 ; arrêts du Tribunal fédéral 6B_932/2021 du 7 septembre 2022 consid. 1.8.3 ; 6B_628/2021 du 14 juillet 2022 consid. 2.2.3 ; 6B_834/2021 du 5 mai 2022 consid. 2.2.2).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(AARP/238/2025 du 24 juin 2025 consid. 2.3.3). Savoir si un ressortissant d'un pays tiers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w:t>
      </w:r>
    </w:p>
    <w:p>
      <w:r>
        <w:rPr>
          <w:b/>
        </w:rPr>
        <w:t>E. 2.3</w:t>
      </w:r>
    </w:p>
    <w:p>
      <w:r>
        <w:t>Bien qu'elle puisse être de nature à compliquer la situation de la personne qui en fait l'objet, l'inscription au SIS n'empêche toutefois pas l'octroi d'une autorisation de séjour par un État membre, en application de la législation européenne (AARP/314/2025 du 26 août 2025 consid. 2.2).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2.4</w:t>
      </w:r>
    </w:p>
    <w:p>
      <w:r>
        <w:t>En l'espèce, l'appelant, qui n'est pas ressortissant d'un pays membre de l'UE ou de l'AELE, a été condamné pour vol, tentative de vol, dommages à la propriété et violation de domicile, ce que lui-même ne conteste pas. Ces infractions, toutes passibles d'une peine privative de liberté de plus d'un an (cinq ans pour le vol, respectivement la tentative de vol, trois ans pour les autres), et que, de surcroît, il a commises, à intervalles rapprochés, à l'encontre de plusieurs personnes physiques et morales, constituent une menace à l'ordre et à la sécurité publics. Le plancher fixé par le Règlement SIS Frontières est, en effet, largement dépassé, de sorte que le quantum de la peine prononcée est indifférent. Étant donné que les conditions de l'inscription de son expulsion au SIS sont remplies, l'inscription doit être ordonnée.</w:t>
      </w:r>
    </w:p>
    <w:p>
      <w:r>
        <w:t>Les liens dont l'appelant se prévaut avec l'Espagne ne sont étayés par aucun élément, ce dernier n'ayant produit aucun document ni détail précis aussi bien quant au domicile qu'il invoque dans ce pays, qu'aux démarches que, à teneur de sa déclaration d'appel, il y aurait entamées pour y être régularisé, ni même quant au domicile exact de sa petite amie (ou fiancée) dans le pays. De surcroît, la véracité de sa relation amoureuse</w:t>
      </w:r>
    </w:p>
    <w:p>
      <w:r>
        <w:t>- 5/9 - P/17734/2025 demeure sujette à caution, l'appelant et son amie intime n'ayant entretenu aucun contact pendant son incarcération, et ce pour une raison peu crédible. En tout état, force est de constater qu'à teneur de ses propres déclarations devant le TP, l'appelant n'avait tissé aucun lien avec l'Espagne avant les faits, et n'était pas sûr de s'y rendre en cas d'expulsion, hésitant sur ce point entre ce pays et la France. En ce qui concerne ses projets professionnels en Espagne, ils sont aussi évasifs (l'appelant ne fournissant pas le moindre détail quant à leur teneur) que fragiles (l'appelant n'ayant aucun lien avec le pays, ses perspectives d'intégration y paraissent, en l'état, limitées). Partant, la situation personnelle de l'appelant ne fait nullement obstacle à l'inscription de son expulsion dans le SIS.</w:t>
      </w:r>
    </w:p>
    <w:p>
      <w:r>
        <w:t>Au demeurant, un signalement n'empêcherait pas l'octroi d'une autorisation de séjour en application de la législation européenne (cf. ATF 147 IV 340 consid. 4.6 et 4.8). Partant, au vu des infractions commises et de la situation de l'appelant, le cas est suffisamment approprié, pertinent et important, au regard du principe de proportionnalité (art. 21 § 1 du Règlement SIS Frontières) pour justifier un signalement dans le SIS. Au vu de ce qui précède, l'appel est intégralement rejeté.</w:t>
      </w:r>
    </w:p>
    <w:p>
      <w:r>
        <w:rPr>
          <w:b/>
        </w:rPr>
        <w:t>E. 3</w:t>
      </w:r>
    </w:p>
    <w:p>
      <w:r>
        <w:t>L'appelant, qui succombe, supportera les frais de la procédure envers l'État (art. 428 CPP) comprenant un émolument d'arrêt de CHF 1'500.-.</w:t>
      </w:r>
    </w:p>
    <w:p>
      <w:r>
        <w:rPr>
          <w:b/>
        </w:rPr>
        <w:t>E. 4</w:t>
      </w:r>
    </w:p>
    <w:p>
      <w:r>
        <w:t>Il n'y a pas lieu de revoir la répartition des frais de la procédure de première instance (art. 428 al. 3 CPP a contrario).</w:t>
      </w:r>
    </w:p>
    <w:p>
      <w:r>
        <w:rPr>
          <w:b/>
        </w:rPr>
        <w:t>E. 5</w:t>
      </w:r>
    </w:p>
    <w:p>
      <w:r>
        <w:t>Vu l'issue de l'appel, aucune indemnité ne sera allouée à l'appelant (art. 429 al. 1 let. a et c CPP).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- 6/9 - P/17734/2025</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l'espèce, l'état de frais déposé par Me B______, défenseure d'office de l'appelant, fait état de cinq heures et vingt minutes d'activité de chef d'étude au taux horaire de CHF 200.-, dont quatre heures consacrées à la seule rédaction du mémoire d'appel. Or, compte tenu du peu de complexité de la cause, du fait que ledit mémoire se compose en majeure partie d'un rappel des bases légales applicables déjà citées dans le jugement entrepris, et qu'il est principalement fondé sur l'évocation évasive et lapidaire des "projets professionnels" de l'appelant et de celui de "rejoindre sa fiancée en Espagne", sans que cela ne soit étayé par la moindre pièce ni par le moindre détail concret, il convient de réduire l'activité de la défenseure pour la procédure d'appel à deux heures. Sa rémunération sera donc arrêtée à CHF 400.-, plus la majoration forfaitaire de 20 % et l'équivalent de la TVA au taux de 8.1% en CHF 38.90, soit un montant total de CHF 518.90.</w:t>
      </w:r>
    </w:p>
    <w:p>
      <w:r>
        <w:t>* * * * *</w:t>
      </w:r>
    </w:p>
    <w:p>
      <w:r>
        <w:t>- 7/9 - P/17734/2025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