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AARP/137/2025 vom 8. April 2025</w:t>
      </w:r>
    </w:p>
    <w:p>
      <w:r>
        <w:t>GE Cour de justice, 2025-04-08, FR</w:t>
      </w:r>
    </w:p>
    <w:p>
      <w:r>
        <w:rPr>
          <w:b/>
        </w:rPr>
        <w:t xml:space="preserve">Quelle: </w:t>
      </w:r>
      <w:r>
        <w:t>https://mcp.opencaselaw.ch/entscheid/ge_gerichte_AARP_137_2025</w:t>
      </w:r>
    </w:p>
    <w:p>
      <w:r>
        <w:t>FR: GE_GERICHTE AARP/137/2025 du 8 avril 2025</w:t>
      </w:r>
    </w:p>
    <w:p>
      <w:r>
        <w:t>IT: GE_GERICHTE AARP/137/2025 del 8 aprile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339 al. 4 CPP, applicable par renvoi de l'art. 405 al. 1 CPP, les questions incidentes soulevées en cours de débats sont traitées comme des questions préjudicielles.</w:t>
      </w:r>
    </w:p>
    <w:p>
      <w:r>
        <w:t>- 29/48 - P/3414/2021 2.1.2. Aux termes de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du Tribunal fédéral 6B_78/2012 du 27 août 2012 consid. 3.1).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En l'espèce, l'audition du thérapeute de l'appelant avait été refusée une première fois au titre de la direction de la procédure dans la mesure où elle n'apparaissait pas nécessaire, une attestation pouvant être versée, ce qui a été fait. Dans celle-ci, le praticien expose les mécanismes de fonctionnement de l'appelant qui impactent ses réactions. Cela étant, il ne dit pas considérer qu'il y aurait une diminution de responsabilité pénale en tant que telle pour ces motifs. Une responsabilité restreinte ou une irresponsabilité n'ont d'ailleurs pas été plaidées par la défense. Enfin, toute ambiguïté possible au sujet d'une reconnaissance de culpabilité pour les faits encore reprochés qui aurait pu être contenue dans ledit document a été levée par les déclarations de l'appelant lors des débats d'appel, de sorte qu'il n'était pas nécessaire d'entendre le thérapeute à ce propos. Pour ces motifs, l'incident a été rejeté.</w:t>
      </w:r>
    </w:p>
    <w:p>
      <w:r>
        <w:rPr>
          <w:b/>
        </w:rPr>
        <w:t>E. 3</w:t>
      </w:r>
    </w:p>
    <w:p>
      <w:r>
        <w:t>octobre 2017 consid. 2.1 ; AARP/392/2023 du 20 octobre 2023 consid. 3.1). Le lésé doit enfin avoir été effectivement alarmé ou effrayé, ce qui implique qu'il considère l'objet du comportement menaçant comme possible et qu'il suscite chez lui de la peur (arrêts du Tribunal fédéral 6B_754/2023 du 11 octobre 2023 consid. 3.1 ; 6B_1254/2022 du 16 juin 2023 consid. 7.1 ; 6B_617/2022 du 14 décembre 2022 consid. 2.2.1). Il s'agit-il là d'un fait interne (arrêts du Tribunal fédéral 6B_754/2023 du 11 octobre 2023 consid. 3.1 ; 6B_617/2022 du 14 décembre 2022 consid. 2.2.1). Subjectivement, l'intention de l'auteur doit porter tant sur son comportement menaçant que sur l'effroi suscité de ce fait chez le lésé ; le dol éventuel suffit (arrêts du Tribunal fédéral 6B_754/2023 du 11 octobre 2023 consid. 3.1 ; 6B_1254/2022 du 16 juin 2023 consid. 7.1 ; 6B_508/2021 du 14 janvier 2022 consid. 2.1).</w:t>
      </w:r>
    </w:p>
    <w:p>
      <w:r>
        <w:t>- 32/48 - P/3414/2021 3.2.2. Aux termes de l'art. 190 al. 1 aCP, se rend coupable de viol quiconque, notamment en usant de menace ou de violence, en exerçant sur sa victime des pressions d'ordre psychique ou en la mettant hors d'état de résister, aura contraint une personne de sexe féminin à subir l'acte sexuel.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6B_367/2021 consid. 2.1 et 2.2.1 ; 6B_995/2020 consid. 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 6B_1149/2014 du 16 juillet 2015 consid. 5.1.3).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 du Tribunal fédéral 6B_267/2016 du 15 février 2017 consid. 5.2). Des faits du printemps 2015 3.3.1. En l'espèce, il est établi qu'à l'époque des faits, un climat de violences, tant verbales que physiques, régnait au sein de la famille. L'appelant ne conteste pas avoir pu proférer les menaces visées dans l'acte d'accusation. En effet, il a admis, dès son audition à la police, que les faits décrits par son épouse, soit des menaces de mort lors d'un virulent placage au mur, avaient pu se produire, tout en affirmant n'avoir jamais eu l'intention de s'exécuter, ce qui est sans</w:t>
      </w:r>
    </w:p>
    <w:p>
      <w:r>
        <w:t>- 33/48 - P/3414/2021 pertinence quant à la réalisation de l'infraction. Ses rétractations et dénégations ultérieures n'ont pas emporté la conviction des juges, ce qu'il ne discute à juste titre pas. En revanche, selon lui, le résultat de l'infraction ferait défaut, ce qui commanderait son acquittement. À cet égard, il relève que l'épisode du tympan perforé s'était déroulé un an auparavant, de sorte qu'on ne pouvait en déduire une intention homicide à cette époque. De plus, l'intimée n'avait pas été véritablement alarmée, dès lors qu'elle n'avait pas modifié son comportement ou sa manière de vivre. Les arguments ne convainquent pas. En effet, l'intimée a indiqué de manière constante avoir été effrayée par ses propos et rien ne permet de douter de la sincérité des siens. En effet, elle savait que son mari était capable de violences pour avoir eu précisément un tympan perforé suite à une gifle, sans compter que celui-ci venait, dans ce même complexe de faits, de la plaquer contre un mur, une main contre sa poitrine et l'autre au niveau de sa gorge, lui causant des ecchymoses, faits acquis. Dans cette configuration, des propos menaçants pouvaient objectivement susciter chez la victime un sentiment de frayeur. Il sied enfin de souligner que cette altercation est survenue du fait que la plaignante était intervenue, de manière musclée, pour protéger son fils que son mari malmenait. Or, les parties s'accordent à dire que l'intimée n'a agi de la sorte qu'à cette seule occasion, tandis que la procédure démontre que l'appelant a continué à brutaliser K______ par la suite. Ainsi, la plaignante a bel et bien modifié son comportement suite à cet avertissement ("[il] avait menacé de la tuer si elle s'avisait de recommencer"). Par surabondance, il sera relevé qu'elle ne s'est confiée sur les violences faites exclusivement aux enfants qu'en février 2021, dans le cadre de sa prise en charge thérapeutique, et qu'elle n'a déposé plainte pénale qu'à la suite de la dénonciation du SPMi, soit une fois qu'un réseau a été mis en place et après que l'appelant s'est vu notifier une mesure d'éloignement. Il s'agit d'un indice fort de ce qu'elle avait peur de potentielles représailles de son mari. Au vu de ce qui précède, la condition de l'effroi sera tenue pour établie de sorte que l'infraction est réalisée. Le verdict de culpabilité de chef de menaces sera partant confirmé et l'appel rejeté. Des faits du 15 août 2021 3.3.2. Les versions des parties divergent fondamentalement de sorte qu'il convient d'apprécier leur crédibilité respective. 3.3.2.1. Si l'appelant est resté constant sur l'essentiel, à savoir que selon lui le rapport sexuel était consenti et précédé par d'autres, survenus le 13 août 2021, il n'en demeure pas moins que ses déclarations ont considérablement varié, étant rappelé qu'il avait été informé par le SEASP des accusations portées à son encontre avant sa première audition, de sorte qu'elles ne peuvent pas être d'emblée tenues pour spontanées.</w:t>
      </w:r>
    </w:p>
    <w:p>
      <w:r>
        <w:t>- 34/48 - P/3414/2021 Ainsi, le prévenu a varié sur les aspects suivants : quant au nombre de relations sexuelles entretenues le 13 août 2021 ("plusieurs", puis "deux" et enfin "plusieurs mais en tous cas deux", sans description aucune des gestes ou positions, avant d'ajouter lors d'une dernière audience au MP un rapport oral), sur le jour où il admet avoir tiré les cheveux de son épouse – à la demande de celle-ci – (tantôt le jeudi, tantôt le samedi), sur la description du rapport sexuel du 15 août 2021 (passant d'un rapport sexuel précédé de câlins [police], à une fellation suivie de diverses positions sexuelles précises [MP], avant de revenir sur ses déclarations car il ne se souvenait somme toute plus vraiment du déroulement [TCO]), ainsi que sur la venue de la plaignante le soir des faits (il a ajouté devant le MP qu'elle serait arrivée paniquée, mais les bras chargés d'alcool). Il a en outre adapté ses déclarations quant à l'origine des ecchymoses constatées sur le corps de la victime : après avoir initialement indiqué ne pas avoir tenu la plaignante avec force et ignorer l'origine des lésions, il a affirmé qu'ils avaient eu, en réalité, des relations sexuelles "assez enthousiastes" voire "endiablées", de sorte qu'elles avaient pu causer des "bleus" précisant que sa femme marquait facilement. Pour justifier ce souvenir tardif, il a allégué que sa compagne actuelle avait été blessée de la sorte lors d'un précédent rapport, explication aussi accommodante que saugrenue. Enfin, pour faire bonne mesure, il a souligné qu'il ne pouvait pas exclure qu'elles eussent été auto-infligées. À ces variations, s'ajoutent dans son récit les incohérences et inconsistances suivantes : l'appelant a toujours soutenu que l'intimée avait tenté de renouer contact avec insistance avant les faits, cherchant le rapprochement, alors que les messages produits démontrent plutôt l'inverse, à savoir que l'appelant s'épanche longuement sur ses sentiments tandis que l'intimée est tantôt distante, tantôt cassante ("je ne t'aime plus. C'est terminé."). En ce qui concerne les nombreux rapports survenus selon lui le 13 août 2021, il est illogique que le couple, qui avait décidé d'interrompre une troisième grossesse en 2018 et se protégeait jusqu'alors, n'ait pris aucune précaution au moment précis où il était séparé et opposé par plusieurs procédures judiciaires. De plus, il est tout aussi incohérent, sachant le traumatisme que cet avortement a représenté pour la plaignante, que celle-ci eût attendu le 16 août 2021, soit trois jours après les premières relations, pour se faire prescrire la pilule du lendemain. Ainsi, dans l'ensemble, les déclarations de l'appelant ne jouissent pas d'une grande crédibilité, étant rappelé qu'il a, par le passé, nié des comportements graves qu'il admet désormais. 3.3.2.2. Les déclarations de l'intimée ne sont certes pas non plus exemptes de variations, mais sont davantage constantes, cohérentes et détaillées, étant précisé qu'elle s'est confiée à de nombreuses reprises sur les faits, les exposant tour à tour à la pharmacienne, à son père, à son voisin, aux HUG, à la psychologue de l'UIMPV, à l'infirmière du CAAP, à la police ainsi qu'au MP, notamment.</w:t>
      </w:r>
    </w:p>
    <w:p>
      <w:r>
        <w:t>- 35/48 - P/3414/2021 Selon elle, son dévoilement s'est fait en deux étapes en ce sens qu'elle n'a pas réussi à se confier la première fois sur les faits de viol à son voisin, mais le lendemain, après avoir vu la pharmacienne qu'elle avait consultée pour un contraceptif d'urgence, ce qui apparaît chronologiquement cohérent dans la mesure où tant I______ que O______ l'ont exhortée à se rendre à la maternité pour subir les examens d'usage, qu'elle n'avait jusqu'alors pas envisagés et auxquels elle s'est immédiatement soumise quelques heures plus tard, le 17 août 2021 au petit matin. Ainsi, que O______ rapporte que les révélations auraient eu lieu dès leur première entrevue peut être le fruit d'une erreur de sa part, ce d'autant qu'il se rappelle qu'elle n'aurait pleuré qu'à une seule reprise, alors que l'ensemble de la procédure témoigne de ce que l'intimée était effondrée à chaque fois qu'elle devait revenir sur les faits. À cet égard, l'argument de la défense selon lequel l'accusation de viol serait une machination de la plaignante ne tient pas : en effet, si tel avait été le cas, celle-ci aurait dénoncé immédiatement les faits à la police et n'aurait pas autant attendu avant de se rendre à l'hôpital. Il sera encore souligné qu'il n'y a aucun indice au dossier permettant de retenir le moindre bénéfice secondaire : au contraire, ensuite de sa plainte, les vivres lui ont été coupés par son mari en représailles, sans compter qu'elle a dû être hospitalisée d'urgence et les enfants placés à nouveau en foyer alors qu'elle en avait la garde. La plaignante a décrit les faits de l'agression de manière constante et a pu donner des précisions sur son ressenti, comme la sensation de répulsion en sentant la langue de l'appelant dans sa bouche, son incapacité de crier par crainte d'alerter les enfants, son envie de vomir durant la pénétration, ainsi que sa culpabilité et sa colère d'être tombée dans un piège. Les variations dans son discours concernent des faits périphériques uniquement, soit la fin de soirée du 13 août 2021 et la simulation de noyade le 15 août 2021. En ce qui concerne le premier épisode, elle a en effet initialement indiqué que son mari avait fini par quitter les lieux dès lors qu'elle refusait ses avances, avant de revenir sur ses déclarations et d'exposer qu'elle n'avait pas voulu le laisser repartir vu son état d'alcoolisation, de sorte qu'il s'était écroulé et endormi sur l'ancien lit conjugal. Si cette contradiction interroge, elle n'est toutefois pas susceptible, à elle seule, de remettre en question la crédibilité générale de la plaignante, ce d'autant moins que l'échange de messages produit corrobore le fait que l'appelant ne se sentait pas bien (cf. consid. 3.3.3). Le deuxième épisode est moins clair : en effet, la plaignante a évoqué le fait d'avoir dû sortir la tête de son mari de l'eau devant la thérapeute de l'UIMPV ("comme il ne bougeait pas, elle l'avait saisi par les cheveux pour le tirer hors de l'eau"), détail qu'on pourrait aussi, avec un peu d'interprétation, croire déceler dans le compte-rendu du constat d'agression ("elle s'était donc rendue sur place avec les enfants et l'avait sorti de l'eau"). Confrontée à ces éléments par le MP, l'intimée a expliqué n'être intervenue de la sorte que "plus tard" et que l'appelant aimait bien jouer à "faire le mort" avec les enfants, de sorte que l'on comprend que l'incident tenait plus d'un jeu que d'une simulation. En tout état, bien plus que d'une véritable contradiction dans ses déclarations, il s'agit en réalité de propos rapportés et résumés par des tiers,</w:t>
      </w:r>
    </w:p>
    <w:p>
      <w:r>
        <w:t>- 36/48 - P/3414/2021 selon leur compréhension personnelle, de sorte que l'on ne saurait en tirer de conclusions trop hâtives. Il en va d'ailleurs de même des confidences restituées par la pharmacienne : en effet, la témoin a exposé ses souvenirs, sans se référer à d'éventuelles notes, ce qui peut expliquer l'erreur de datation du viol ("le vendredi 13 ou le samedi 14"). Il ne peut pas non plus être exclu qu'elle ait mal compris ou mélangé les informations révélées par sa cliente ("son agresseur disposait encore des clés de son logement et avait pu entrer chez elle") ; à cet égard, il est établi que la victime présente une certaine labilité émotionnelle et qu'il lui est parfois difficile de structurer son récit tant elle est affectée par les faits, ce qui est compréhensible et a pu être observé par ses différents interlocuteurs, autorités comme particuliers, qui peuvent alors avoir parfois du mal à la suivre. Ceci est d'autant plus vraisemblable qu'il s'agit du seul témoignage qui évoque que les faits se seraient produits ailleurs, sans compter que la plaignante se dévoilait alors pour la première fois, de sorte qu'elle devait être particulièrement effondrée. Il ne peut être décelé aucune incohérence crasse dans son récit, celles soulevées par la défense devant être écartées : en effet, il n'y a pas d'incohérence quant au fait qu'elle n'ait pas repris le volant immédiatement après avoir constaté que l'appelant se portait bien ou qu'elle ait emmené les enfants avec elle alors qu'elle pensait que son époux allait se suicider, prenant le risque de les y confronter cas échéant, sa réaction et ses motivations demeurant compréhensibles. Enfin, l'argument qui voudrait qu'une pénétration serait mécaniquement impossible lorsque la victime est allongée sur le ventre est absurde. Au contraire, selon la version de la plaignante, l'appelant lui aurait causé des ecchymoses en tentant précisément de lui écarter les cuisses et a forcé son passage, ne réussissant pas à la pénétrer du premier coup. Dans l'ensemble, l'intimée est apparue sincère et n'en a pas rajouté, de sorte qu'elle est crédible. Sa crédibilité découle également des autres infractions dénoncées, pour lesquelles l'appelant a été condamné. Elle n'a pas cherché à se présenter sous une image plus favorable et n'a pas hésité à avouer qu'elle avait une consommation pathologique de l'alcool, ou encore qu'elle s'en était prise physiquement à l'appelant et l'avait fait chuter en prenant la défense de K______ en 2015, ce qui est un gage de sincérité. Elle n'est coutumière ni de mensonges, ni d'exagération, de sorte que cet argument de la défense ne peut être suivi : en effet, l'épisode dénoncé de AH______ [France] (cf. jugement entrepris, consid. 4.3.5) a été écarté faute de réalisation de l'élément subjectif et non parce qu'il aurait été établi qu'elle eut présenté une fausse version des faits. Quant à l'avortement de 2018, l'intimée l'a subjectivement vécu comme une contrainte, ce qui lui appartient. 3.3.2.3. Au vu de ce qui précède, il apparaît que les déclarations de l'intimée jouissent d'une crédibilité nettement accrue par rapport à celles de l'appelant. 3.3.3. Les autres éléments du dossier permettent d'apporter des éclairages supplémentaires.</w:t>
      </w:r>
    </w:p>
    <w:p>
      <w:r>
        <w:t>- 37/48 - P/3414/2021 Le 14 août 2021, l'intimée a demandé à l'appelant s'il allait mieux. Celui-ci lui a répondu qu'il n'était pas tout à fait rétabli et qu'il avait dû se lever à 04h00 pour vomir. Cet échange corrobore ainsi la version de la plaignante selon laquelle l'appelant était, la veille, très alcoolisé et allait mal, de sorte qu'il s'était écroulé dans l'ancien lit conjugal tandis qu'elle avait veillé sur lui. Quant à l'allusion du prévenu à une nuit passée ensemble, elle ne veut pas encore dire que des relations sexuelles ont eu lieu, quand bien même celui-ci évoque une embrassade voire des baisers. Pour sa part, l'intimée a indiqué "l'autre soir tu m'as prise dans tes bras. Je pensais qu'on pouvait apaiser cette guerre sans fin", sans aucune référence à un rapport sexuel ; elle ne réagit pas à ses messages ambigus mais le confronte aux problèmes financiers, sa principale préoccupation. Il est ainsi difficile d'en tirer une conclusion claire sur cette seule base. Cela étant, il ressort du témoignage de la sœur du prévenu que celui-ci ne lui avait pas fait part d'autres épisodes charnels que celui du 15 août 2021. Ainsi, la thèse de précédentes relations sexuelles n'est pas établie et parait peu vraisemblable vu l'état de l'appelant. En ce qui concerne les messages envoyés en rapport avec la piscine, les secours et le Grand bleu, l'appelant, après avoir varié quant à la signification de ses propos, a fini par concéder avoir voulu susciter une réaction de la part de son épouse. Il admet ainsi, à demi-mots, que son but était de lui faire croire qu'il allait se suicider. Or, à le suivre, s'ils avaient entretenu des rapports sexuels deux jours plus tôt, il n'avait pas besoin de recourir à un tel stratagème pour recevoir "un mot d'amour" de sa part. Le fait que les enfants étaient visiblement paniqués, ce qu'il admet au demeurant et est confirmé par le message subséquent de la plaignante ("nous sommes venus en catastrophe avec les enfants cette nuit on avait peur que tu te suicides"), corrobore également l'hypothèse d'un chantage affectif. Enfin, la sœur de l'appelant a rapporté que celui-ci lui avait expliqué avoir eu des pensées noires, raison pour laquelle il avait contacté la plaignante. Ainsi, l'appelant a bien manipulé l'intimée, en lui faisant croire qu'il allait se suicider, afin d'obtenir une réaction de sa part (compassion, sollicitude, culpabilisation voire raviver ses sentiments). Il sied d'apprécier les autres témoignages de la manière suivante : - les déclarations de la mère de l'appelant doivent être prises avec beaucoup de circonspection, dès lors que celle-ci a prétendu tout ignorer du conflit conjugal et ne cache pas sa mésentente avec l'intimée ; - celles de son compagnon n'apportent pas d'éléments utiles dans la mesure où les faits sont présentés de manière descriptive et neutre. Le fait qu'il se fût agi, pour lui, d'une scène familiale, n'est pas incompatible avec la version de l'intimée qui allègue avoir voulu donner le change pour le bien des enfants, tout en se trouvant en état de sidération. Le témoin a en outre surpris une allusion à un rapport sexuel compatible tant avec la version de l'intimée que celle de l'appelant ;</w:t>
      </w:r>
    </w:p>
    <w:p>
      <w:r>
        <w:t>- 38/48 - P/3414/2021 - si les propos du père de l'appelant sont certes ambigus, il n'en demeure pas moins qu'il a observé chez son fils un malaise et le sentiment qu'il avait quelque chose de grave à se reprocher. Le fait qu'il a balayé la question du viol n'est pas pertinent dès lors qu'il s'agit de sa perception subjective et que sa compréhension de l'infraction est biaisée, de surcroît ("ce n'était pas la même chose si c'était entre deux personnes qui ne se connaissaient pas ou entre deux anciens concubins") ; - du côté de la victime, ses parents ont rapporté qu'elle n'était pas bien lors du déjeuner du 16 août 2021 et très abattue lorsqu'elle s'était confiée à son père. O______ a indiqué qu'elle était en colère et avait pleuré, tandis que la pharmacienne a observé une cliente profondément bouleversée et dans un état de détresse palpable. Enfin, l'infirmière du CAAP, sa psychothérapeute et son gynécologue ont tous constaté qu'elle était très affectée, qu'elle tremblait "comme une feuille", était affaiblie, en larmes ainsi que dans un fort état de stress et de panique. Ces praticiens ont d'ailleurs souligné que son discours était congruent et cohérent, qu'il ne comportait pas de contradiction chronologique et évoquait des faits vraisemblables, P______ ayant ajouté ne l'avoir jamais vue en pareil état. Ces témoignages crédibilisent donc que la plaignante a vécu un traumatisme. Le tableau lésionnel fait état d'un très grand nombre d'ecchymoses. Selon l'expert, celles-ci sont peu compatibles avec l'hypothèse d'un agrippement non violent ou d'un maintien sans force particulière et leur quantité s'explique difficilement par une brève prise lors d'ébats enthousiastes, avec la précision qu'il faut tout de même une certaine force pour causer de telles lésions. Elles corroborent donc plutôt la version de l'intimée, étant précisé que l'absence de blessure au niveau du front et de la sphère génitale n'est pas incompatible avec son récit. Cela étant, lors des débats d'appel, l'expert a finalement concédé qu'il n'était pas possible de tirer de conclusion formelle quant à la couleur des blessures – quand bien même les lésions bleues-rouges pouvaient généralement être qualifiées de récentes et qu'aucune lésion jaune, par définition ancienne, n'avait été répertoriée –, qu'une consommation pathologique de l'alcool pouvait favoriser leur apparition – à condition toutefois que le foie soit atteint, donnée que l'on ignore in casu – et qu'elles pouvaient avoir été matériellement auto-infligées, toutes les parties concernées étant à portée de la patiente. En raison de ce qui précède, si ce moyen de preuve tend à appuyer davantage les accusations de la victime, il ne saurait avoir un poids décisif. En revanche, l'hospitalisation d'urgence de la plaignante 12 jours après, suivie de son séjour volontaire en psychiatrie, témoigne de ce qu'elle a subi un profond traumatisme en lien direct avec les faits, étant précisé qu'un trouble de stress post-traumatique complexe avec symptômes dissociatifs a été diagnostiqué a posteriori. Ainsi, les séquelles psychologiques et l'état de santé de la plaignante depuis lors crédibilisent d'autant les graves accusations formulées, ce qui achève d'emporter la conviction.</w:t>
      </w:r>
    </w:p>
    <w:p>
      <w:r>
        <w:t>- 39/48 - P/3414/2021 3.3.4. Ainsi, aux déclarations constantes et crédibles de l'intimée s'ajoute un faisceau d'indices externes les corroborant. Avec les premiers juges, il y a donc lieu de tenir les faits pour établis, étant encore relevé que le comportement de la plaignante immédiatement après les faits, à savoir le fait d'être restée toute la journée à J______ et de ne pas avoir mentionné le viol dans son message subséquent, ne suffit pas à remettre en question cette conclusion, toutes les victimes ne réagissant pas de la même manière. 3.3.5. Au vu de ce qui précède, l'appelant a bien contraint par la force l'intimée à l'embrasser et à subir l'acte sexuel, lui causant par la même occasion les diverses ecchymoses listées au tableau lésionnel, lesquelles sont absorbées par l'infraction de viol. Il a agi avec conscience et volonté. Partant, le verdict de culpabilité sera confirmé et l'appel rejeté.</w:t>
      </w:r>
    </w:p>
    <w:p>
      <w:r>
        <w:rPr>
          <w:b/>
        </w:rPr>
        <w:t>E. 4</w:t>
      </w:r>
    </w:p>
    <w:p>
      <w:r>
        <w:t>4.1.1. Le viol (art. 190 al. 1 aCP) est réprimé par une peine privative de liberté d'un an à dix ans. Les lésions corporelles simples (art. 123 ch. 1 et 2 al. 2 et 3 CP, les menaces (art. 180 al. 1 et 2 let. a CP) et la violation d'un devoir d'assistance ou d'éducation (art. 219 al. 1 CP) sont toutes punies d'une peine privative de liberté de trois ans au plus ou d'une peine pécuniaire. Enfin, l'insoumission à une décision de l'autorité (art. 292 CP) est sanctionnée par l'amende. 4.1.2.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w:t>
      </w:r>
    </w:p>
    <w:p>
      <w:r>
        <w:t>- 40/48 - P/3414/2021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w:t>
      </w:r>
    </w:p>
    <w:p>
      <w:r>
        <w:rPr>
          <w:b/>
        </w:rPr>
        <w:t>E. 4.2</w:t>
      </w:r>
    </w:p>
    <w:p>
      <w:r>
        <w:t>La faute de l'appelant est très lourde. Il s'en est pris à l'intégrité physique, psychique et sexuelle de son épouse ainsi qu'à l'intégrité physique et au développement harmonieux de ses enfants. En outre, il a persisté à faire fi des décisions de justice, n'hésitant pas, notamment, à profiter de ce que sa femme devait récupérer le véhicule familial pour l'attendre dans un parc alors qu'il faisait l'objet d'une mesure d'éloignement, la maintenant ainsi que les enfants dans un climat de stress et de peur permanent. La période pénale est relativement longue, étant précisé que seule l'intervention de tiers (M______, la police, le médecin du CAAP et le SPMi notamment) a permis de mettre un terme à certains de ses agissements, lesquels ont eu des conséquences importantes et durables sur les plaignants. Ses mobiles sont éminemment égoïstes. Il a voulu asseoir son autorité et assouvir ses pulsions colériques ou sexuelles. Ils relèvent d'une frustration mal maîtrisée. En ce qui concerne le non-respect des décisions de justice, l'appelant a agi par pure convenance personnelle. Sa situation personnelle n'explique pas ses actes et ne saurait, en tout état, les justifier. Sa collaboration a été très mauvaise, en ce qu'il n'a eu de cesse de varier dans ses déclarations et de minimiser les faits, allant jusqu'à rejeter la faute sur l'intimée et à se placer en victime, tantôt de violences, tantôt de manipulation. Sa prise de conscience n'est que très partielle et a mis, de surcroît, du temps à se dessiner, étant précisé qu'elle concerne surtout les faits commis au préjudice de ses enfants. L'appelant a mis en place une psychothérapie et maîtrise sa consommation d'alcool, efforts qui doivent être salués mais poursuivis. En revanche, son suivi auprès de [l'association] AG______ n'est attesté par aucune pièce.</w:t>
      </w:r>
    </w:p>
    <w:p>
      <w:r>
        <w:t>- 41/48 - P/3414/2021 Son casier judiciaire est exempt d'antécédent, facteur neutre pour la fixation de la peine. Au regard des circonstances, notamment du fait que l'ensemble des infractions s'inscrit dans un même contexte de conflit intrafamilial, il ne saurait être question d'envisager une peine pécuniaire pour certaines infractions, ce qui n'a d'ailleurs pas été plaidé. Il y a concours d'infraction. L'infraction abstraitement la plus grave est celle de viol, étant souligné qu'il est particulièrement grave de contraindre à l'acte sexuel une épouse dans le contexte d'une séparation conflictuelle. Elle commande à elle seule le prononcé d'une peine privative de liberté de base de 36 mois. Celle-ci doit être augmentée de huit mois pour tenir compte des deux violations du devoir d'éducation et d'assistance (2x peine hypothétique de six mois au vu de la longue période pénale et de l'atteinte causée aux deux enfants), de six mois supplémentaires pour réprimer les lésions corporelles simples répétées commises à l'encontre de son épouse (peine hypothétique de neuf mois), de deux mois pour celles commises à une reprise à l'encontre de K______ (peine hypothétique de trois mois) et de 20 jours pour sanctionner les menaces (peine hypothétique d'un mois), soit une peine privative de liberté de 52 mois et 20 jours, laquelle sera ramenée à quatre ans au vu de l'interdiction de la reformatio in pejus. Ainsi, la peine fixée par les premiers juges sera confirmée. Le bénéfice du sursis est donc exclu. Au surplus, l'appelant ne critique pas la quotité de l'amende de CHF 1'000.- réprimant l'insoumission à une décision de l'autorité, laquelle apparaît adéquate et sera partant confirmée. Au vu de ce qui précède, le premier jugement sera intégralement confirmé et l'appel rejeté.</w:t>
      </w:r>
    </w:p>
    <w:p>
      <w:r>
        <w:rPr>
          <w:b/>
        </w:rPr>
        <w:t>E. 5</w:t>
      </w:r>
    </w:p>
    <w:p>
      <w:r>
        <w:t>5.1.1.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en particulier en réparation de son tort moral (art. 47 du Code des obligations [CO]) ou en réparation de son dommage matériel (art. 41 CO). 5.1.2.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w:t>
      </w:r>
    </w:p>
    <w:p>
      <w:r>
        <w:t>- 42/48 - P/3414/2021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5.1.3. Le guide relatif à la fixation du montant de la réparation morale selon la loi sur l'aide aux victimes établi le 3 octobre 2019 par l'Office fédéral de la justice (OFJ) propose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  entre CHF 20'000.- et CHF 70'000.- pour les atteintes à la gravité exceptionnelle (agressions répétées et particulièrement cruelles, actes sexuels à la fréquence ou à l'intensité particulières avec un enfant sur une longue période). 5.1.4.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w:t>
      </w:r>
    </w:p>
    <w:p>
      <w:r>
        <w:t>- 43/48 - P/3414/2021 avec d'autres cas similaires peut cependant, suivant les circonstances, constituer un élément d'orientation utile (ATF 130 III 699 consid. 5.1 ; 125 III 269 consid. 2a).</w:t>
      </w:r>
    </w:p>
    <w:p>
      <w:r>
        <w:rPr>
          <w:b/>
        </w:rPr>
        <w:t>E. 5.2</w:t>
      </w:r>
    </w:p>
    <w:p>
      <w:r>
        <w:t>En l'espèce, les graves faits commis au détriment de la victime ont indubitablement impacté de manière importante et durable sa santé. Ses séquelles sont attestées médicalement et ses hospitalisations, directement consécutives aux agissements de l'appelant, sont en lien de causalité naturelle et adéquate avec ceux-ci. Cela étant, avec les premiers juges, il faut aussi tenir compte du fait que la gravité de ses souffrances et la détérioration de son état de santé ont aussi été favorisées par ses traumatismes antérieurs et les fragilités psychologiques qui en ont découlé (abus sexuels durant l'enfance et deux tentamen, notamment). En outre, la procédure a aussi démontré que la plaignante a très mal vécu la décision d'avorter de sa troisième grossesse et que, vu aussi sans doute l'ambiance délétère qui régnait déjà au sein du ménage, elle a sombré dans l'alcoolisme. Ainsi, il n'est pas possible d'attribuer intégralement l'intensité de ses maux aux agissements de l'appelant ; il n'en demeure pas moins que ceux-ci sont odieux, ce d'autant que le condamné n'ignorait pas les difficultés que son épouse traversait, ni son passé, de sorte qu'il la savait vulnérable. Compte tenu de ce qui précède, le montant arrêté à CHF 25'000.- par les premiers juges apparaît adéquat, équitable et conforme à la jurisprudence, de sorte qu'il sera confirmé. L'appel joint est partant rejeté.</w:t>
      </w:r>
    </w:p>
    <w:p>
      <w:r>
        <w:rPr>
          <w:b/>
        </w:rPr>
        <w:t>E. 6</w:t>
      </w:r>
    </w:p>
    <w:p>
      <w:r>
        <w:t>L'appelant et l'appelante jointe succombent tous deux dans leurs conclusions, de sorte qu'ils supporteront les frais de la procédure d'appel à hauteur de 9/10èmes pour le premier et de 1/10ème pour la seconde, lesquels comprendront un émolument d'arrêt de CHF 2'000.- (art. 428 CPP). Vu l'issue de la procédure, il n'y a pas lieu de revoir la répartition des frais de première instance.</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 l'assujettissement du patron de l'avocat au statut de collaborateur n'entrant pas en considération (arrêts du Tribunal fédéral 6B_486/2013 du 16 juillet 2013 consid. 4 et 6B_638/2012 du</w:t>
      </w:r>
    </w:p>
    <w:p>
      <w:r>
        <w:rPr>
          <w:b/>
        </w:rPr>
        <w:t>E. 10</w:t>
      </w:r>
    </w:p>
    <w:p>
      <w:r>
        <w:t>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- 44/48 - P/3414/2021</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7.1.2.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7.2.1. En l'espèce, les états de frais déposés par le défenseur d'office et le conseil juridique gratuit apparaissent tous deux excessifs, compte tenu de l'objet restreint de la procédure d'appel et du fait que le dossier était connu de ces deux avocats expérimentés, pour avoir été plaidé en première instance.</w:t>
      </w:r>
    </w:p>
    <w:p>
      <w:r>
        <w:t>7.2.2. Il conviendra donc de réduire l'état de frais présenté par Me B______ dans la mesure qui suit :  l'étude du jugement motivé sera écartée, dès lors qu'elle est comprise dans le forfait (- 1h00) ;</w:t>
      </w:r>
    </w:p>
    <w:p>
      <w:r>
        <w:t>- 45/48 - P/3414/2021  seules six conférences client seront admises, lesquelles apparaissent largement suffisantes pour préparer efficacement la défense de l'appelant (- 6h00) ;  la préparation de l'audience d'appel sera ramenée à 8h00 d'activité, pour les motifs qui précèdent (cf. consid. 7.2.1) (- 4h00). S'y ajouteront enfin la durée des débats de 6h50 et la vacation de CHF 100.-.</w:t>
      </w:r>
    </w:p>
    <w:p>
      <w:r>
        <w:t>En conclusion, la rémunération de Me B______ sera arrêtée à CHF 5'530.20 correspondant à 22h50 d'activité au tarif de CHF 200.-/heure (CHF 4'566.65) plus la majoration forfaitaire de 10% (CHF 456.65), l'équivalent de la TVA au taux de 8.1% en CHF 406.90 et une vacation de CHF 100.-. 7.2.3. Quant à l'activité facturée par Me D______, elle sera réduite de la manière suivante :  la préparation du bordereau de pièce sera écartée, dès lors qu'il s'agit d'une tâche de secrétariat, partant comprise dans le forfait (- 0h20) ;  la préparation de l'audience d'appel sera également ramenée à 8h00 d'activité, pour les motifs exposés supra consid. 7.2.1 (- 6h30) ;  l'audience d'appel sera ramenée à sa durée effective ( - 1h10).</w:t>
      </w:r>
    </w:p>
    <w:p>
      <w:r>
        <w:t>En conclusion, la rémunération de Me D______ sera arrêtée à CHF 4'444.95 correspondant à 2h06 d'activité au tarif de CHF 200.-/heure (CHF 420.-) et 21h42 d'activité au tarif de CHF 150.-/heure (CHF 3'255.-) plus la majoration forfaitaire de 10% (CHF 367.50), l'équivalent de la TVA au taux de 8.1% en CHF 327.45 et une vacation de CHF 75.-. * * * * *</w:t>
      </w:r>
    </w:p>
    <w:p>
      <w:r>
        <w:t>- 46/48 - P/3414/2021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