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AARP/137/2016 vom 5. April 2016</w:t>
      </w:r>
    </w:p>
    <w:p>
      <w:r>
        <w:t>GE Cour de justice, 2016-04-05, FR</w:t>
      </w:r>
    </w:p>
    <w:p>
      <w:r>
        <w:rPr>
          <w:b/>
        </w:rPr>
        <w:t xml:space="preserve">Quelle: </w:t>
      </w:r>
      <w:r>
        <w:t>https://mcp.opencaselaw.ch/entscheid/ge_gerichte_AARP_137_2016</w:t>
      </w:r>
    </w:p>
    <w:p>
      <w:r>
        <w:t>FR: GE_GERICHTE AARP/137/2016 du 5 avril 2016</w:t>
      </w:r>
    </w:p>
    <w:p>
      <w:r>
        <w:t>IT: GE_GERICHTE AARP/137/2016 del 5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42 al. 1 CP, le juge suspend en règle générale une peine d'une durée d'au moins six mois mais de deux ans au plus lorsque l'exécution ne paraît pas nécessaire à détourner l'auteur d'autres crimes ou délits ; toutefois, si celui-ci a, durant les cinq années qui précèdent l'infraction, celui-ci a déjà été condamné à une peine, ferme ou non, de six mois au moins, le sursis ne peut être prononcé qu'en présence de circonstances particulièrement favorables.</w:t>
      </w:r>
    </w:p>
    <w:p>
      <w:r>
        <w:t>- 5/9 - P/18169/2015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w:t>
      </w:r>
    </w:p>
    <w:p>
      <w:r>
        <w:rPr>
          <w:b/>
        </w:rPr>
        <w:t>E. 2.2</w:t>
      </w:r>
    </w:p>
    <w:p>
      <w:r>
        <w:t>Quoi qu'elle en dise, l'appelante paraît s'être installée dans une activité consistant à passer la frontière avec la Suisse pour y commettre des vols ou des cambriolages pouvant s'avérer particulièrement rémunérateurs. La Cour en veut pour preuve qu'après le vol sanctionné en octobre 2012, elle a participé aux deux cambriolages objet de la présente procédure, d'où, selon toute vraisemblance, deux voyages à Genève, à cette seule fin, et qu'il y a tout lieu de croire que ses intentions n'étaient nullement, le jour de son arrestation, de faire une escapade romantique et/ou du shopping dans la ville du bout du lac. Il y a en outre une escalade dans la gravité, le fait de pénétrer dans le domicile des victimes emportant des dégâts et une atteinte à la sphère intime qui s'ajoutent à la perte des biens subtilisés, dont la valeur est susceptible d'être bien plus importante qu'en cas de vol sur la voie publique. La collaboration de l'appelante a été médiocre, dans la mesure, notamment, où elle n'a</w:t>
      </w:r>
    </w:p>
    <w:p>
      <w:r>
        <w:t>- 6/9 - P/18169/2015 donné aucune indication permettant d'identifier une(e) ou des comparse(s), ni de retrouver trace du butin et où ses déclarations sur les motifs de sa dernière venue à Genève ont été variables et guère, comme déjà mentionné, convaincantes. Dans ces circonstances, il est permis d'éprouver des doutes sur la sincérité ou, à tout le moins, la profondeur, des regrets exprimés à l'audience. La prise de conscience ne peut, au mieux, être qualifiée que de balbutiante, ce qui, du point de vue du pronostic, n'est guère encourageant.</w:t>
      </w:r>
    </w:p>
    <w:p>
      <w:r>
        <w:t>Pour autant, il est vrai que l'appelante n'avait pas purgé la peine ferme infligée en 2012 et a donc fait pour la première fois l'expérience d'une détention d'une certaine durée suite à son arrestation le 24 septembre 2015. La leçon donnée est à cet égard double, l'appelante ayant par la même occasion pu constater qu'elle était susceptible d'être rattrapée par son passé, la frontière franchie. Il faut également tenir compte de ce que cet antécédent est de gravité relative, la peine, qui réprimait aussi une infraction à la loi fédérale sur les étrangers du 16 décembre 2005 (LEtr - RS 142.20), ne dépassant pas trois mois. L'appelante n'ayant alors pas bénéficié du sursis, ce qui est surprenant, on ne peut guère lui reprocher de ne pas avoir réussi de mise à l'épreuve. Dans ces circonstances, la Cour estime que le cas d'espèce est un cas limite, dans lequel il peut encore être espéré que la menace de la révocation du sursis est susceptible d'avoir des effets dissuasifs sur l'appelante.</w:t>
      </w:r>
    </w:p>
    <w:p>
      <w:r>
        <w:t>L'appel doit dès lors être admis et le bénéfice du sursis octroyé, la durée du délai d'épreuve étant arrêtée à quatre ans, vu les éléments négatifs évoqués précédemment, qui commandent la prudence. 3. Le verdict de culpabilité n'étant pas modifié, les frais de la procédure de première instance, hors l'émolument complémentaire lié à la nécessité de motiver le jugement ensuite de l'annonce d'appel, resteront à la charge de l'appelante ; en revanche, vu l'aboutissement de l'appel, ledit émolument doit être supporté par l'Etat (art. 428 al. 3 CPP), de même que les frais de la procédure de deuxième instance (art. 428 al. 1 CPP).</w:t>
      </w:r>
    </w:p>
    <w:p>
      <w:r>
        <w:rPr>
          <w:b/>
        </w:rPr>
        <w:t>E. 2.3</w:t>
      </w:r>
    </w:p>
    <w:p>
      <w:r>
        <w:t>;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rPr>
          <w:b/>
        </w:rPr>
        <w:t>E. 4</w:t>
      </w:r>
    </w:p>
    <w:p>
      <w:r>
        <w:t>Assistée d'un défenseur privé, l'appelante doit encore être indemnisée de ses frais de défense pour la procédure d'appel (art. 436 al. 3 CPP). Elle n'a pas pris de conclusions de ce chef, mais vu la simplicité de la question à traiter, à laquelle fait adéquatement écho la brièveté (trois pages) du mémoire d'appel, un montant de CHF 1'080.- (TVA au taux de 8% compris) lui sera alloué à ce titre, ce qui correspond à une activité de son avocat de l'ordre de deux heures à deux heures et demi, étant rappelé que la Cour de justice retient en principe un tarif horaire entre CHF 400.- et CHF 450.- pour un chef d'étude (ACPR/279/2014 du 27 mai 2014 ; ACPR/112/2014 du 26 février 2014 ; cf. arrêts du Tribunal fédéral 2C_725/2010 du 31 octobre 2011 consid. 3 et 2C_25/2008 du 18 juin 2008 consid. 3, en matière</w:t>
      </w:r>
    </w:p>
    <w:p>
      <w:r>
        <w:t>- 7/9 - P/18169/2015 d'assistance juridique, faisant référence aux tarifs usuels d'un conseil de choix à Genève). * * * * *</w:t>
      </w:r>
    </w:p>
    <w:p>
      <w:r>
        <w:t>- 8/9 - P/18169/2015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