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AARP/136/2017 vom 12. April 2017</w:t>
      </w:r>
    </w:p>
    <w:p>
      <w:r>
        <w:t>GE Cour de justice, 2017-04-12, FR</w:t>
      </w:r>
    </w:p>
    <w:p>
      <w:r>
        <w:rPr>
          <w:b/>
        </w:rPr>
        <w:t xml:space="preserve">Quelle: </w:t>
      </w:r>
      <w:r>
        <w:t>https://mcp.opencaselaw.ch/entscheid/ge_gerichte_AARP_136_2017</w:t>
      </w:r>
    </w:p>
    <w:p>
      <w:r>
        <w:t>FR: GE_GERICHTE AARP/136/2017 du 12 avril 2017</w:t>
      </w:r>
    </w:p>
    <w:p>
      <w:r>
        <w:t>IT: GE_GERICHTE AARP/136/2017 del 12 aprile 2017</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 arrêts du Tribunal fédéral 6B_458/2013 du</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- 12/16 - P/9316/2015 4.1.2.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4.2.1. Aux termes de l'art. 42 al. 1 CP, le juge suspend en règle générale l'exécution d'une peine privative de liberté de six mois au moins et de deux ans au plus lorsqu'une peine ferme ne paraît pas nécessaire pour détourner l'auteur d'autres crimes ou délits.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(R. SCHNEIDER / R. GARRÉ, Basler Kommentar, Strafrecht I, 2e éd., 2007, n. 61 ad art. 42). Le nouveau droit pose des exigences moins élevées quant au pronostic pour l'octroi du sursis. Le sursis est désormais la règle dont on ne peut s'écarter qu'en présence d'un pronostic défavorable. Il prime en cas d'incertitude (ATF 134 IV 1 consid. 4.2.2 p. 5-6 ; SJ 2008 I p. 277 consid. 2.1 p. 280). 4.2.2. Selon l'art. 43 al. 1 CP, le juge peut suspendre partiellement l'exécution d'une peine pécuniaire, d'un travail d'intérêt général ou d'une peine privative de liberté d'un an au moins et de trois ans au plus afin de tenir compte de façon appropriée de la faute de l'auteur. En cas de sursis partiel à l'exécution d'une peine privative de liberté, la partie suspendue, de même que la partie à exécuter, doivent être de six mois au moins. La partie à exécuter ne peut excéder la moitié de la peine (al. 2). Les règles d'octroi de la libération conditionnelle (art. 86 CP) ne lui sont pas applicables (al. 3).</w:t>
      </w:r>
    </w:p>
    <w:p>
      <w:r>
        <w:t>- 13/16 - P/9316/2015 Ainsi,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sursis partiel permet au juge d'infliger une peine privative de liberté dont une partie ferme et l'autre avec sursis. Le juge peut ainsi éviter le dilemme du "tout ou rien" en cas de pronostic fortement incertain, mais dispose au contraire d'une marge d'appréciation plus étendue et d'une plus grande possibilité d'individualisation de la peine (ATF 134 IV 1, consid. 5.5.2. p. 15 ; SJ 2008 I p. 277 consid. 2.2.3.2. p. 281 ; arrêt du Tribunal fédéral 6B_1044/2013 du 4 mars 2014 consid. 3.1). 4.2.3.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(arrêts du Tribunal fédéral 6B_1227/2015 du 29 juillet 2016 consid. 1.2.1 ; 6B_187/2015 du 28 avril 2015 consid. 5.5).</w:t>
      </w:r>
    </w:p>
    <w:p>
      <w:r>
        <w:rPr>
          <w:b/>
        </w:rPr>
        <w:t>E. 4.3</w:t>
      </w:r>
    </w:p>
    <w:p>
      <w:r>
        <w:t>L'application de l'art. 90 al. 3 LCR entraîne la condamnation à une peine privative de liberté d'au minimum une année. La faute de l'appelant est grave et son mobile égoïste. Il a fait fi de tous les dangers créés par la conduite d'un véhicule à 124 km/h, là où la vitesse n'était limitée qu'à 50 km/h, quand bien même les conditions de circulation étaient favorables, ce par pure convenance personnelle, allant jusqu'à admettre qu'il souhaitait voir ce que sa nouvelle voiture "avait dans le ventre". Or, l'appelant, rompu à la conduite, pour avoir exercé par le passé l'activité professionnelle de chauffeur poids lourd, ne pouvait ignorer les risques entraînés par un tel comportement. Sa collaboration à la procédure est sans particularité, l'appelant ayant bien dû admettre les faits dûment établis par un radar et des photographies. Sa prise de conscience est limitée, dès lors qu'il retient surtout, comme conséquences de ses agissements, les inconvénients liés au retrait de son permis de conduire. Ses regrets ne peuvent ainsi qu'être relativisés. Ajouté à cela, les antécédents de l'appelant sont mauvais et spécifiques, dès lors que son casier judiciaire fait état d'une condamnation en 2007 pour violation des obligations en cas d'accident et lésions corporelles par négligence, et d'une autre en 2011 pour violation grave des règles de la circulation routière, en état d'incapacité de conduire (taux d'alcoolémie qualifié), et violation des devoirs en cas d'accident. Pour</w:t>
      </w:r>
    </w:p>
    <w:p>
      <w:r>
        <w:t>- 14/16 - P/9316/2015 ces faits, l'appelant a été condamné, en 2007, à une peine privative de liberté de 20 mois avec sursis et, en 2011, à un travail d'intérêt général de 360 heures, qu'il n'a pas terminé, le jugeant trop lourd, et lui préférant une peine pécuniaire. Force est de constater, au vu du délit de chauffard commis, que ces peines n'ont pas eu l'effet escompté sur l'appelant. Dès lors, on admettra avec le premier juge qu'une sanction financière, plus légère, n'aurait pas plus d'impact sur son comportement. A sa décharge, il peut être tenu compte de la relative ancienneté de ces antécédents et de sa tentative de suivre des cours de conduite au TCS. Dans ces conditions, le pronostic quant au comportement futur de l'appelant est franchement défavorable, de sorte que le prononcé de la peine privative de liberté minimale d'un an se justifie, sans qu'elle ne soit assortie d'un sursis complet. Cela étant, l'octroi du sursis partiel, avec une peine à exécuter de six mois et un délai d'épreuve de cinq ans, est acquis à l'appelant, en l'absence d'un appel du Ministère public sur ce point. Il en va de même de la renonciation à révoquer les sursis octroyés les ___ novembre 2007 et ___ mai 2008. Compte tenu de ce qui précède, le jugement entrepris peut être intégralement confirmé. L'appel doit donc être rejeté.</w:t>
      </w:r>
    </w:p>
    <w:p>
      <w:r>
        <w:rPr>
          <w:b/>
        </w:rPr>
        <w:t>E. 5</w:t>
      </w:r>
    </w:p>
    <w:p>
      <w:r>
        <w:t>L'appelant, qui succombe, sera condamné aux frais de la procédure d'appel, comprenant un émolument de jugement de CHF 2'000.- (art. 428 CPP et art. 14 al. 1 let. e du Règlement fixant le tarif des frais en matière pénale du 22 décembre 2010 [RTFMP ; E 4 10.03]).</w:t>
      </w:r>
    </w:p>
    <w:p>
      <w:r>
        <w:t>* * * * *</w:t>
      </w:r>
    </w:p>
    <w:p>
      <w:r>
        <w:t>- 15/16 - P/9316/2015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