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AARP/134/2018 vom 27. April 2018</w:t>
      </w:r>
    </w:p>
    <w:p>
      <w:r>
        <w:t>GE Cour de justice, 2018-04-27, FR</w:t>
      </w:r>
    </w:p>
    <w:p>
      <w:r>
        <w:rPr>
          <w:b/>
        </w:rPr>
        <w:t xml:space="preserve">Quelle: </w:t>
      </w:r>
      <w:r>
        <w:t>https://mcp.opencaselaw.ch/entscheid/ge_gerichte_AARP_134_2018</w:t>
      </w:r>
    </w:p>
    <w:p>
      <w:r>
        <w:t>FR: GE_GERICHTE AARP/134/2018 du 27 avril 2018</w:t>
      </w:r>
    </w:p>
    <w:p>
      <w:r>
        <w:t>IT: GE_GERICHTE AARP/134/2018 del 27 aprile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arrêt du Tribunal fédéral 6B_784/2011 du 12 mars 2012 consid. 1.1). Le tribunal apprécie librement les preuves recueillies selon l’intime conviction qu’il retire de l’ensemble de la procédure (art. 10 al. 2 CPP).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w:t>
      </w:r>
    </w:p>
    <w:p>
      <w:r>
        <w:t>- 17/28 - P/11563/2017 6B_1230/2015 du 22 avril 2016 consid. 2, 6B_109/2014 du 25 septembre 2014 consid. 2.1 et 6B_398/2013 du 11 juillet 2013 consid. 2.1). Les déclarations de la victime, entendue comme témoin, constituent un élément de preuve. Le juge doit, dans l'évaluation globale de l'ensemble des éléments probatoires rassemblés au dossier, les apprécier librement (arrêts du Tribunal fédéral 6B_1220/2015 du 19 juillet 2016 consid. 2.3.2, 6B_614/2012 du 15 février 2013 consid. 3.2.5, 6B_716/2010 du 15 novembre 2010 consid. 1.3 et 6B_360/2008 du 12 novembre 2008 consid. 4.3).</w:t>
      </w:r>
    </w:p>
    <w:p>
      <w:r>
        <w:rPr>
          <w:b/>
        </w:rPr>
        <w:t>E. 3.1</w:t>
      </w:r>
    </w:p>
    <w:p>
      <w:r>
        <w:t>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L'art. 190 CP, comme l'art. 189 CP, ne protège des atteintes à la libre détermination en matière sexuelle que pour autant que l'auteur surmonte ou déjoue la résistance que l'on pouvait raisonnablement attendre de la victime (ATF 133 IV 49 consid. 4 et 131 IV 167 consid. 3.1). L'infraction visée par l'art. 190 CP exige donc non seulement qu'une personne subisse l'acte sexuel alors qu'elle ne le veut pas, mais également qu'elle le subisse du fait d'une contrainte exercée par l'auteur (arrêts du Tribunal fédéral 6B_710/2012 du 3 avril 2013 consid. 3.1 et 6B_311/2011 du 19 juillet 2011 consid. 5.2). 3.2.1. En l’espèce, les déclarations de l’intimée sont détaillées, cohérentes et constantes en relation avec les faits dénoncés. Elle a certes dit à la police avoir été saisie à la mâchoire et forcée à boire de la bière avant d’envoyer des messages à la réceptionniste du salon, puis expliquer l’inverse. Une telle variation est cependant légère et, ne concernant que la chronologie de certains événements, mais non leur survenance, elle n’est pas déterminante. L’intimée a en tout état de cause confirmé dans ses dernières déclarations, de manière claire et crédible, que l’appelant avait commencé à se montrer agressif après l’envoi des messages, raison pour laquelle elle n’y avait rien mentionné à cet égard et avait seulement dit se sentir "nerveuse" compte tenu de la manière dont le prévenu l’observait. Les lésions constatées lors de l’examen clinique effectué le 29 mai 2017 sont en corrélation avec son récit. Les ecchymoses de moins de 48h relevées aux deux bras ainsi que sur le mandibule et la cuisse gauches, tout comme la lésion de la partie droite de la paroi vaginale, s’expliquent difficilement par un quelconque accident et en tous les cas pas par le seul fait que l’intimée entretient des rapports sexuels réguliers dans le cadre de son activité d’escorte. Elles sont plutôt caractéristiques d’un rapport sexuel violent, incluant une pression sur la mâchoire. Conformément au témoignage du Dr F______, les lésions vaginales en particulier sont causées par une</w:t>
      </w:r>
    </w:p>
    <w:p>
      <w:r>
        <w:t>- 18/28 - P/11563/2017 pénétration très violente avec un objet ou des doigts. Elles ne peuvent donc pas résulter de la seule taille du sexe de l’appelant comme celui-ci le soutient. Quant à l’absence de lésions constatées au niveau du cuir chevelu ou du cou, elle n’exclut pas le fait que l’intimée aurait néanmoins, ainsi qu’elle le rapporte, été tirée par les cheveux et saisie au cou, de tels actes de violence ne laissant pas forcément des traces. Autant D______ que H______ ont témoigné de l’état de détresse dans lequel se trouvait l’intimée juste après les faits ainsi que de ses pleurs, et celle-là a confirmé que l’intimée lui avait rapporté avoir été violée par l’appelant dans les circonstances susdécrites, avoir néanmoins voulu continuer de travailler et ne pas avoir souhaité porter plainte eu égard au manque de considération de la police. L’intimée a aussi exprimé un profond désarroi lors de ses auditions successives, y compris par les médecins légistes, lors desquelles elle s’est montrée angoissée et a pleuré à plusieurs reprises. Contrairement à l’opinion de l’appelant, sa décision de poursuivre son activité d’escorte après les faits ne remet pas en cause le choc qu’elle a subi. Un tel choix peut s’expliquer à la fois par la nécessité pour l’intimée de continuer à gagner de l’argent et la volonté de surpasser son traumatisme. Il ne résulte pas non plus du dossier, en particulier du fait que l’intimée bénéficie de l’assistance juridique, que sa ______ et son ______ à G______ lui rapporteraient un revenu suffisant. L’appel à la CECAL à 03h00 atteste également que l’intimée considérait avoir été victime d’une agression sexuelle et qu’elle souhaitait être aidée ainsi que porter plainte. Le fait qu’elle ait évoqué la présence de deux hommes n’ôte pas toute crédibilité à ses propos. Elle a en effet continuellement parlé d’un second individu qu’elle avait vu être rejoint par le prévenu à la sortie de l’immeuble et qui l’avait ensuite suivie sur une courte distance. Il est au surplus compréhensible, au vu de son état de stress et de la communication lacunaire avec l’agent de la CECAL, qu’elle ait manqué de précision sur ce point. Le fait qu’elle ait ensuite choisi de rentrer au salon plutôt que de se rendre au poste E______ peut s’expliquer par les mêmes raisons, ainsi que par l’absence d’empathie de l’agent de la CECAL, qui lui avait fait comprendre que la police n’était pas disposée à enregistrer une plainte pénale durant le week-end. 3.2.2. Le déroulement des faits tel que décrit par l’intimée est temporellement en adéquation avec les éléments du dossier. Il en résulte qu’elle a terminé d’envoyer des messages à la réceptionniste du salon à 02h27 et qu’elle a appelé la police à 03h00. Quand bien même le rapport vaginal a été très bref selon ses souvenirs, il a été précédé d’un laps de temps pendant lequel le prévenu l’a agressée, menacée, coincée contre le canapé, a sorti son sexe, mis un préservatif, remonté sa robe et déchiré son string. L’intimée a appelé à l’aide après l’acte, jusqu’à ce que le prévenu lui ouvre la</w:t>
      </w:r>
    </w:p>
    <w:p>
      <w:r>
        <w:t>- 19/28 - P/11563/2017 porte, puis elle est sortie de l’immeuble, ce qui lui a pris un peu de temps car elle est descendue à pied un étage trop bas. Elle a ensuite marché plusieurs centaines de mètres jusqu’à la hauteur du chemin ______, en faisant un détour par une rue très animée à proximité d’un arrêt de tram, description qui correspond à la rue ______. Dans l’intervalle, elle a discuté avec une fille "latina" à l’arrêt dans une voiture et vainement tenté d’appeler la police avec son propre téléphone sur conseil de cette dernière. Elle a finalement interpellé D______ et lui a fait comprendre qu’elle souhaitait utiliser son téléphone pour appeler la police, étant précisé que le précité a encore dû demander à son ami de lui prêter sa recharge mobile et la brancher sur son téléphone. Pris dans leur ensemble, ces éléments s’inscrivent bien dans une durée d’environ 30 minutes. 3.2.3. Les renseignements fournis par l’opérateur au sujet du routeur installé chez le prévenu n’apparaissent pas utiles. Ils attestent certes que l’appareil est resté allumé, mais ne disent rien du fonctionnement du réseau internet, en particulier de la connexion du téléphone de la partie plaignante. Or, il est établi qu’elle n’a pas pu se connecter au wifi avant d’arriver dans l’appartement de l’appelant et qu’elle en a été déconnectée après l’envoi à 02h27 de ses messages à la réceptionniste du salon, dont elle n’a reçu ni les envois ni les appels subséquents. L’appelant lui-même a expliqué qu’il avait dû remettre en route le routeur après leur arrivée dans l’appartement. La question de savoir s’il a provoqué la déconnexion du réseau après 02h27 en manipulant effectivement le routeur ou si celle-ci est due à un disfonctionnement peut en définitive rester indécise, sans que cela ne remette en cause les explications de l’intimée, qui a en tous les cas pu croire à la première hypothèse. En ce qui concerne l’absence de trace ADN de l’appelant sur le string de l’intimée, elle n’exclut pas à elle seule que ce dernier l’ait déchiré. Un tel geste, rapide et sec, est en effet susceptible de ne pas laisser de trace suffisante. 3.2.4. Il ne résulte du dossier aucune raison pour l’intimée d’incriminer l’appelant à tort. Elle ne le connaissait pas, notamment au titre de client, et n’avait par conséquent aucun contentieux avec lui ni nourri de rancœur à son égard. Elle n’a pas non plus montré de propension au mensonge ni même à l’exagération durant la procédure. Toutes ses déclarations, qu’elles concernent son activité d’escorte à Genève, ou plus spécifiquement, le déroulement des faits ayant précédé et suivi l’agression dénoncée, y compris ses conversations avec D______, l’agent de la CECAL, H______ et la responsable du salon, trouvent en effet un appui dans le dossier. L’intimée ne vient au surplus à Genève que quelques semaines par année dans le seul but de gagner de l’argent par l’exercice de la prostitution, de sorte qu’elle n’aurait pas engagé une procédure pénale pour des faits qu’elle ne considérait pas comme avérés et graves. Il n’apparait pas non plus que l’intimée, contrairement à l’hypothèse émise par l’appelant, pût être mue par la perspective d’une</w:t>
      </w:r>
    </w:p>
    <w:p>
      <w:r>
        <w:t>- 20/28 - P/11563/2017 condamnation de ce dernier au versement d’une indemnité en réparation du tort moral. Elle ne l’a en effet jamais évoquée durant ses auditions et, au vu de la rémunération certaine et immédiate qu’elle retire de son activité d’escorte, elle n’aurait pas déposé plainte dans le seul but de percevoir à l’issue de la procédure une éventuelle indemnité du prévenu, dont rien n’attestait qu’il disposait d’une quelconque fortune et qui était manifestement aussi un travailleur immigré. 3.2.5. Selon la version de l’appelant, il a eu une relation sexuelle consentie avec l’intimée. La description qu’il fait du comportement de l’intimée n’est cependant pas plausible. Alors qu’elle se trouvait à Genève dans le seul but d’exercer son activité d’escorte et qu’elle était montée chez l’appelant afin de contacter le client qui l’attendait, elle n’avait aucune raison d’abandonner ce dernier pour avoir une relation sexuelle complète et gratuite avec le prévenu. L’appelant a lui-même admis que cette situation n’était pas habituelle et ne lui était jamais arrivée. L’intimée n’aurait en outre pas envoyé des messages à la réceptionniste du salon pour lui demander de contacter le client, d’appeler un taxi et lui dire qu’elle était très nerveuse, juste avant d’entamer un rapport sexuel complet avec le prévenu. Les déclarations de l’appelant selon lesquelles il avait pensé seulement après la fellation que l’intimée pouvait être une prostituée et lui avait pour cette raison proposé CHF 30.-, qu’il avait posés sur la table mais qu’elle avait refusés, ne sont pour le surplus pas crédibles. Dans le cours ordinaire des choses, soit l’intimée lui aurait proposé d’emblée une relation tarifée qui lui aurait coûté plus cher, soit elle aurait accepté d’entretenir avec lui un rapport gratuit, sans essayer de lui faire comprendre au milieu de la relation néanmoins souhaiter un peu d’argent, pour finalement y renoncer. Contrairement à l’argumentation développée par l’appelant, sa version n’est pas non plus temporellement compatible avec l’intervalle survenu entre la fin de l’envoi des messages à la réceptionniste du salon à 02h27 et l’appel à la CECAL à 03h00. De son récit ressort en effet un rapport sexuel qui a duré au moins 30 minutes au total : premiers baisers, première masturbation de cinq minutes, fellation de dix minutes, échange de regards et proposition d’argent, seconds baisers, déshabillement complet de l’intimée, seconde masturbation, rapport vaginal de dix minutes, rhabillement et départ de l’intimée. Celle-ci serait ainsi sortie de l’appartement au plus tôt vers 03h00, ce qui exclut qu’elle eût encore le temps de parcourir plusieurs centaines de mètres avant de rencontrer D______ et d’appeler la police avec le téléphone de ce dernier. Les déclarations de l’appelant s’avèrent enfin fluctuantes en rapport avec son comportement à la suite des faits. Il a d’abord expliqué être allé immédiatement dormir et n’avoir plus revu l’intimée, puis a admis être sorti cinq minutes après le départ de cette dernière pour aller acheter des cigarettes dans un kiosque, avoir vu</w:t>
      </w:r>
    </w:p>
    <w:p>
      <w:r>
        <w:t>- 21/28 - P/11563/2017 l’intimée une fois à l’extérieur et croisé un inconnu ainsi que deux ou trois personnes se trouvant audit kiosque. Finalement, il a déclaré aux premiers juges qu’il n’avait croisé personne et n’avait pas vu l’intimée.</w:t>
      </w:r>
    </w:p>
    <w:p>
      <w:r>
        <w:rPr>
          <w:b/>
        </w:rPr>
        <w:t>E. 3.3</w:t>
      </w:r>
    </w:p>
    <w:p>
      <w:r>
        <w:t>Au vu de ce qui précède, les déclarations de l’intimée sont parfaitement crédibles et conformes au dossier, au contraire de celles de l’appelant, de sorte qu’il n’y a pas lieu de s’en écarter et que les faits reprochés au prévenu doivent être tenus pour établis (cf. supra consid. A.c.). Ce dernier a ainsi usé de violence et de menace pour entretenir avec l’intimée un rapport vaginal complet contre le gré de cette dernière. Sa culpabilité pour viol sera par conséquent confirmée, tout comme sa condamnation à verser à l’intimée une indemnité en réparation de son tort moral, laquelle n’est pas contestée dans cette hypothèse.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et 129 IV 6 consid. 6.1).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(ATF 141 IV 61 consid. 6.1.1 et 129 IV</w:t>
      </w:r>
    </w:p>
    <w:p>
      <w:r>
        <w:rPr>
          <w:b/>
        </w:rPr>
        <w:t>E. 4.2</w:t>
      </w:r>
    </w:p>
    <w:p>
      <w:r>
        <w:t>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w:t>
      </w:r>
    </w:p>
    <w:p>
      <w:r>
        <w:t>- 25/28 - P/11563/2017 8.1.2.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 8.2. En l’espèce, de l’état de frais de Me K______ sont retenues 7h d’activité en tout, durée suffisant à la préparation des débats, entretien avec le client et examen du premier jugement inclus, compte tenu de ce que le défenseur d’office était déjà nommé en première instance. S’y ajoutent la participation de ce dernier auxdits débats de 1h30 et le forfait de déplacement au Palais de justice de CHF 100.-. L'indemnité due à Me K______ sera ainsi arrêtée à CHF 2’121.70, correspondant à 8h30 d'activité à CHF 200.-/heure (CHF 1'700.-), plus le forfait déplacement (CHF 100.-), la majoration forfaitaire de 10% compte tenu de l’activité déjà déployée en première instance (CHF 170.-) et la TVA de 7.7% (CHF 151.70). 8.3. En relation avec l’activité de Me L______ sont retenus l’activité de 2h30 au total figurant dans son état de frais, ainsi que la durée de la participation aux débats de 1h30 et le forfait de déplacement au Palais de justice de CHF 100.-. L’indemnité lui étant due sera ainsi arrêtée à CHF 1'141.60, correspondant à 4h d’activité à CHF 200.-/heure (CHF 800.-), plus le forfait déplacement (CHF 100.-), la majoration forfaitaire de 20% (CHF 160.-) et la TVA de 7.7% (CHF 81.62). * * * * *</w:t>
      </w:r>
    </w:p>
    <w:p>
      <w:r>
        <w:t>- 26/28 - P/11563/2017</w:t>
      </w:r>
    </w:p>
    <w:p>
      <w:r>
        <w:rPr>
          <w:b/>
        </w:rPr>
        <w:t>E. 6</w:t>
      </w:r>
    </w:p>
    <w:p>
      <w:r>
        <w:t>Les motifs ayant conduit les premiers juges à prononcer, par décision séparée du</w:t>
      </w:r>
    </w:p>
    <w:p>
      <w:r>
        <w:rPr>
          <w:b/>
        </w:rPr>
        <w:t>E. 10</w:t>
      </w:r>
    </w:p>
    <w:p>
      <w:r>
        <w:t>janvier 2018, le maintien des mesures de substitution sont toujours d'actualité, de sorte qu’elles seront reconduites mutatis mutandis, sans limitation dans le temps (art. 237 al. 4 CPP ; ATF 139 IV 277 consid. 2.2 à 2.3). La demande de l’appelant visant à la libération des sûretés doit en particulier être rejetée, dès lors que le risque de fuite sur lequel était fondée l’obligation de les fournir n’a pas disparu (art. 239 al. 1 let. a CPP). 7. Au vu de ce qui précède, l’appel sera intégralement rejeté.</w:t>
      </w:r>
    </w:p>
    <w:p>
      <w:r>
        <w:t>L'appelant, qui succombe, supportera les frais de la procédure envers l'État, comprenant un émolument de CHF 2'000.- (art. 428 CPP).</w:t>
      </w:r>
    </w:p>
    <w:p>
      <w:r>
        <w:t>Il sera au surplus débouté de ses conclusions en réparation du tort moral subi (art. 436 al. 1 CPP et 429 al. 1 CPP "a contrario"). 8. 8.1.1. Selon l'art. 135 al. 1 CPP, le défenseur d'office ou le conseil juridique gratuit (cf. art. 138 al. 1 CPP) est indemnisé conformément au tarif des avocats de la Confédération ou du canton du for du procès.</w:t>
      </w:r>
    </w:p>
    <w:p>
      <w:r>
        <w:t>L’art. 16 al. 1, let. c du règlement sur l'assistance juridique du 28 juillet 2010 (RAJ ; E 2 05.04) prescrit que l'indemnité, en matière pénale, est calculée selon le tarif horaire de CHF 200.- pour un chef d’étude, débours inclus (cf. décision de la Cour des plaintes du Tribunal pénal fédéral BB.2013.127 du 4 décembre 2013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