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AARP/133/2026 vom 21. April 2026</w:t>
      </w:r>
    </w:p>
    <w:p>
      <w:r>
        <w:t>GE Cour de justice, 2026-04-21, FR</w:t>
      </w:r>
    </w:p>
    <w:p>
      <w:r>
        <w:rPr>
          <w:b/>
        </w:rPr>
        <w:t xml:space="preserve">Quelle: </w:t>
      </w:r>
      <w:r>
        <w:t>https://mcp.opencaselaw.ch/entscheid/ge_gerichte_AARP_133_2026</w:t>
      </w:r>
    </w:p>
    <w:p>
      <w:r>
        <w:t>FR: GE_GERICHTE AARP/133/2026 du 21 avril 2026</w:t>
      </w:r>
    </w:p>
    <w:p>
      <w:r>
        <w:t>IT: GE_GERICHTE AARP/133/2026 del 21 aprile 2026</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t>- 7/15 - P/7003/2022</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 de la Confédération suisse (Cst.) et 10 al. 3 CPP, concerne tant le fardeau de la preuve que l'appréciation des preuves (ATF 144 IV 345 consid. 2.2.3.1). En tant que règle sur le fardeau de la preuve, la présomption d'innocence signifie, au stade du jugement, que ce fardeau incombe à l'accusation et que le doute doit profiter au prévenu (ATF 127 I 38 consid. 2a ;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 Les déclarations de la victime constituent un élément de preuve. Le juge doit, dans l'évaluation globale de l'ensemble des éléments probatoires rassemblés au dossier, les apprécier librement, sous réserve des cas particuliers où une expertise de la crédibilité des déclarations de la victime s'impose. Les cas de "parole contre parole", dans lesquels les déclarations de la victime en tant que principal élément à charge et les déclarations contradictoires de la personne accusée s'opposent, ne doivent pas nécessairement, sur la base du principe in dubio pro reo, conduire à un acquittement (ATF 137 IV 122 consid. 3.3 ; arrêts du Tribunal fédéral 6B_964/2023 du 17 avril 2024 consid. 2.3.1 non publié aux ATF 150 IV 121 ; 6B_589/2024 du 17 janvier 2025 consid. 2.1.3). 2.1.2. L'art. 123 ch. 1 CP sanctionne quiconque, intentionnellement, fait subir à une personne une autre atteinte à l'intégrité corporelle ou à la santé. L'auteur est poursuivi d'office s’il est le conjoint de la victime et que l’atteinte est commise durant le mariage ou dans l’année qui suit le divorce (ch. 2 hyp. 3). Pour justifier la qualification de lésions corporelles, l'atteinte doit revêtir une certaine importance. Afin de déterminer ce qu'il en est, il y a lieu de tenir compte, d'une part,</w:t>
      </w:r>
    </w:p>
    <w:p>
      <w:r>
        <w:t>- 8/15 - P/7003/2022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L'impact de l'atteinte ne sera pas nécessairement le même suivant l'âge de la victime, son état de santé, le cadre social dans lequel elle vit ou travaille, etc. (ATF 134 IV 189 consid. 1.4 ; arrêts du Tribunal fédéral 6B_1445/2020 du 28 juillet 2021 consid. 1.1 ; 6B_1064/2019 du 16 janvier 2020 consid. 2.2).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arrêt du Tribunal fédéral 6B_1283/2018 du 14 février 2019 consid. 2.1).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w:t>
      </w:r>
    </w:p>
    <w:p>
      <w:r>
        <w:rPr>
          <w:b/>
        </w:rPr>
        <w:t>E. 2.2</w:t>
      </w:r>
    </w:p>
    <w:p>
      <w:r>
        <w:t>L'appelant ne remet pas en cause la réalité des lésions corporelles, lesquelles sont documentées tant par les photographies que par le rapport médical versés au dossier. Il soutient en revanche que la date des lésions, de même que l'identité de leur auteur ne seraient pas établies de sorte que le doute devrait lui profiter. Cet argument ne convainc pas. En effet, les déclarations de la victime sur ce point ont été constantes, cohérentes et crédibles. Rien ne permet de douter de leur sincérité, étant précisé qu'un éventuel bénéfice secondaire n'est pas démontré ni même plaidé. La lésée n'a pas non plus cherché à accabler son mari et n'en a pas rajouté. Le simple fait de ne pas avoir osé immédiatement montrer ses blessures à son médecin, qui aurait été au courant de la dynamique du couple, par honte, ne saurait décrédibiliser ses propos ; au contraire, ce scénario est plausible : en effet, s'il existe autant de réactions différentes que de victimes, il est notoire que ce sentiment est partagé par beaucoup d'entre elles. De plus, il appert qu'il n'était pas facile pour la lésée d'admettre qu'elle était battue par son mari à son âge respectable. Par surabondance, si le médecin était au courant des violences,</w:t>
      </w:r>
    </w:p>
    <w:p>
      <w:r>
        <w:t>- 9/15 - P/7003/2022 il n'est pas démontré qu'elle lui aurait fait constater d'autres lésions par le passé ce qui corrobore d'une certaine manière sa pudeur. En tout état, si la lésée s'est résignée à consulter le jour en question, c'est bien parce qu'elle était fortement inquiétée par une gêne respiratoire, préoccupation importante qu'elle ne pouvait ignorer. Enfin, le fait qu'elle ait eu de la peine à se remémorer des dates et des détails ne suffit à décrédibiliser ses propos : en effet, en présence d'actes répétés commis dans la cellule familiale, on ne peut pas exiger de la victime un inventaire détaillant chaque cas (arrêt du Tribunal fédéral 6B_1498/2020 du 29 novembre 2021 consid. 2.4). À ses déclarations crédibles, s'ajoutent plusieurs indices qui viennent les soutenir. La lésée indique être victime de violences conjugales de longue date, ce dont attestent tant son médecin généraliste – lequel évoque une thématique récurrente, une situation maritale complexe et des maltraitances physiques – que son psychiatre traitant – qui mentionne en particulier deux violentes agressions, l'une en 2017 et l'autre récente, vraisemblablement celle dont il est question puisque cet événement aurait décidé sa patiente à prendre définitivement ses distances ; or, B______ a invariablement répété que les faits avaient concouru à lui "ouvrir les yeux". Il ressort en outre de certains messages de l'appelant plusieurs aveux, à peine voilés, de violences, et si les plus vieux remontent à 1995, ceux du 2 mars 2022 résonnent de manière troublante avec la période pénale, de sorte qu'il ne peut s'agir d'une simple coïncidence. Le médecin qui a constaté les lésions a estimé qu'elles étaient compatibles avec les allégations de sa patiente, soit qu'elle avait été victime de coups de pieds et de poings de la part de son mari. S'il était difficile de dater avec exactitude chacun des hématomes, le médecin en a conclu qu'en tout état, deux d'entre eux étaient non récents et que celui d'aspect plus jeune pouvait très bien avoir été causé le même jour, d'une part, et qu'ils étaient compatibles avec les dates alléguées, d'autre part. Certes, le déroulement des faits qu'il donne varie sensiblement de la version de la lésée ("coup de poing à la cuisse lorsqu'elle était assise" contre "coup de pied dans le tibia alors qu'elle était assise"). Cela étant, il peut s'agir d'une mauvaise retranscription ou compréhension des propos de la victime qui ne doit pas être retenue contre elle. L'appelant remet en cause la compatibilité des lésions avec les coups allégués, sans fournir le moindre argument à l'appui de sa thèse. Or, il n'y pas lieu de s'écarter de l'expertise d'un praticien expérimenté. La défense fait également grand cas de ce que le médecin ne se souvient plus s'il avait examiné les jambes de sa patiente lors de la première consultation ou non. Outre le fait que cet aveu est signe d'honnêteté, il est crédible et cohérent qu'il n'ait pas ausculté sa patiente dans une région autre que celle concernée par le propos médical ce jour-là, soit la gêne respiratoire. Par ailleurs, s'il a alors suspecté des violences conjugales, c'est bien parce que la lésée a évoqué que son mari avait refermé la porte sur elle, geste suffisant pour être qualifié comme telles ; en l'absence d'autres détails donnés par sa patiente, il n'avait pas le devoir d'approfondir</w:t>
      </w:r>
    </w:p>
    <w:p>
      <w:r>
        <w:t>- 10/15 - P/7003/2022 l'examen pour trouver d'autres indices de maltraitance et ce, même s'il était "sensibilisé à la thématique", pour reprendre les mots de l'appelant. Au vu de ce qui précède, l'appelant est bien l'auteur des lésions constatées médicalement dans le rapport de coups et blessures du 1er mars 2022, celles-ci étant la conséquence des faits décrits dans l'ordonnance pénale et qui se sont produits au début du mois de février 2022 ainsi que le 25 février 2022. Partant, le verdict de culpabilité du chef de lésions corporelles simples (art. 123 ch. 1 et 2 CP) sera confirmé et l'appel rejeté.</w:t>
      </w:r>
    </w:p>
    <w:p>
      <w:r>
        <w:rPr>
          <w:b/>
        </w:rPr>
        <w:t>E. 3</w:t>
      </w:r>
    </w:p>
    <w:p>
      <w:r>
        <w:t>3.1.1. Les lésions corporelles simples sont passibles d'une peine privative de liberté de trois ans au plus ou d'une peine pécuniaire (art. 123 ch. 1 et 2 CP).</w:t>
      </w:r>
    </w:p>
    <w:p>
      <w:r>
        <w:t>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3.1.3. 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Si elles ne sont réalisées qu'en instance de jugement, un verdict de culpabilité est rendu, mais dépourvu de sanction (ATF 135 IV 130 consid. 5.3.2).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w:t>
      </w:r>
    </w:p>
    <w:p>
      <w:r>
        <w:t>- 11/15 - P/7003/2022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Une violation du principe de célérité ou un long écoulement de temps depuis les faits peuvent également être pris en considération (ATF 135 IV 130 consid. 5.4 ; arrêt du Tribunal fédéral 6B_839/2015 du 26 août 2016 consid. 6.1).</w:t>
      </w:r>
    </w:p>
    <w:p>
      <w:r>
        <w:rPr>
          <w:b/>
        </w:rPr>
        <w:t>E. 3.2</w:t>
      </w:r>
    </w:p>
    <w:p>
      <w:r>
        <w:t>La faute de l'appelant est tout sauf négligeable. Il s'en est pris à l'intégrité physique de son épouse avec laquelle il est marié depuis plus de quatre décennies. Son mobile est égoïste et relève d'une mauvaise gestion de sa colère ou de sa frustration. Sa situation personnelle n'explique en aucun cas ses agissements. Sa collaboration, à l'instar de sa prise de conscience, doit être qualifiée de nulle, en tant qu'il a persisté à contester les faits malgré les éléments matériels figurant à la procédure et s'est positionné en victime, sans aucune once d'empathie pour la lésée. Il a un antécédent, non spécifique. Les conditions d'une exemption de peine ne sont pas remplies : en effet, la culpabilité de l'appelant n'est pas de peu d'importance. En particulier, son comportement n'apparaît pas insignifiant en comparaison avec d'autres actes qui tombent sous le coup de cette disposition légale. Les conséquences concrètes de ses actes, non plus, n'ont pas été anodines pour son épouse, laquelle est âgée, tout autant que lui, et a subi, en particulier, une plaie non superficielle, dont le temps de guérison peut être variable et sujet à de petites complications. Outre ce résultat physique, elle a également fait part de son sentiment de honte exacerbé par le fait d'être victime de violences conjugales à son âge respectable. L'écoulement du temps, soit quatre ans, ne diminue en rien l'intérêt à punir, étant rappelé que la lésée a rencontré les plus grandes peines à s'extirper du cercle vicieux dans lequel elle était enfermée depuis de nombreuses années. Ainsi, au vu de la dynamique maritale complexe et de la personnalité des époux, la prévention spéciale commande la répression de ces actes. Il en va de même de la prévention générale : le grand âge de l'agresseur ne saurait excuser un tel comportement. Enfin, l'argument qui voudrait que la lésée aurait continué à fréquenter son mari n'est d'aucun secours à la défense, pas plus que son retrait de plainte. L'appelant ne discute pas de la quotité infligée au-delà de l'acquittement plaidé. Or, la peine pécuniaire de 30 jours-amende sanctionne adéquatement la faute de l'appelant de sorte qu'elle sera confirmée. Il en ira de même du montant de l'unité en CHF 300.-.</w:t>
      </w:r>
    </w:p>
    <w:p>
      <w:r>
        <w:t>- 12/15 - P/7003/2022 Le bénéfice du sursis et la non-révocation du sursis antérieur sont acquis à l'appelant (art. 42, 44 et 46 al. 2 CP). La durée du délai d'épreuve de trois ans, adéquate, sera en outre confirmée. L'appel sera donc intégralement rejeté et le jugement entrepris confirmé.</w:t>
      </w:r>
    </w:p>
    <w:p>
      <w:r>
        <w:rPr>
          <w:b/>
        </w:rPr>
        <w:t>E. 4</w:t>
      </w:r>
    </w:p>
    <w:p>
      <w:r>
        <w:t>L'appelant, qui succombe, supportera les frais de la procédure envers l'État, lesquels comprendront un émolument d'arrêt en CHF 600.- (art. 428 CPP). Vu l'issue de la procédure, il n'y a pas lieu de revoir la répartition de ceux de la procédure préliminaire et de première instance, ainsi que le sort de l'émolument complémentaire de jugement. * * * * *</w:t>
      </w:r>
    </w:p>
    <w:p>
      <w:r>
        <w:t>- 13/15 - P/7003/2022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