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AARP/133/2018 vom 1. Mai 2018</w:t>
      </w:r>
    </w:p>
    <w:p>
      <w:r>
        <w:t>GE Cour de justice, 2018-05-01, FR</w:t>
      </w:r>
    </w:p>
    <w:p>
      <w:r>
        <w:rPr>
          <w:b/>
        </w:rPr>
        <w:t xml:space="preserve">Quelle: </w:t>
      </w:r>
      <w:r>
        <w:t>https://mcp.opencaselaw.ch/entscheid/ge_gerichte_AARP_133_2018</w:t>
      </w:r>
    </w:p>
    <w:p>
      <w:r>
        <w:t>FR: GE_GERICHTE AARP/133/2018 du 1 mai 2018</w:t>
      </w:r>
    </w:p>
    <w:p>
      <w:r>
        <w:t>IT: GE_GERICHTE AARP/133/2018 del 1 maggio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399 al.</w:t>
      </w:r>
    </w:p>
    <w:p>
      <w:r>
        <w:rPr>
          <w:b/>
        </w:rPr>
        <w:t>E. 1.1</w:t>
      </w:r>
    </w:p>
    <w:p>
      <w:r>
        <w:t>; 6B_203/2015 du 16 mars 2016 consid. 1.1 ; 6B_706/2014 du 28 août 2015 consid. 1.1 ; 6B_832/2014 du 24 avril 2015 consid. 1.2).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 b p. 334 ; ATF 116 la 162 consid. 2c p. 169 = SJ 1991 27). Le fait reproché doit constituer une violation claire de la norme de comportement (arrêts du Tribunal fédéral 6B_1176/2015 du 23 novembre 2016 consid. 1.1 ; 6B_203/2015 du 16 mars 2016 consid. 1.1).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w:t>
      </w:r>
    </w:p>
    <w:p>
      <w:r>
        <w:t>- 19/23 - P/17545/2016 de la vie, le soupçon d'un comportement contraire au droit pénal justifiant l'ouverture d'une enquête. La faute exigée doit s'apprécier selon des critères objectifs : il ne suffit pas que l'attitude du prévenu contrevienne à l'éthique (ATF 116 la 162 consid. 2d p. 171 = SJ 1991 27).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(arrêts du Tribunal fédéral 6B_1176/2015 du 23 novembre 2016 consid. 1.1 ; 6B_380/2016 du 16 novembre 2016 consid. 5.2 ; 6B_203/2015 du 16 mars 2016 consid. 1.1 ; 6B_262/2015 du 29 janvier 2016 consid. 1.1). La mise des frais à la charge du prévenu en cas d'acquittement ou de classement de la procédure doit en effet rester l'exception (ATF 116 Ia 162 consid. 2c p. 171). Le comportement fautif – admis s'il y a au moins une négligence – doit être à l'origine de l'ouverture de l'enquête pénale ou alors il doit s'agir d'une "faute procédurale", c'est-à-dire d'un comportement qui a compliqué ou prolongé la procédure, pour que les frais y relatifs puissent être mis à la charge du prévenu ; par exemple le défaut sans excuse de l'art. 205 al. 4 CPP ou s'il est établi que le silence du prévenu a obligé l'autorité à procéder à des investigations nombreuses et complexes, alors qu'il lui aurait été facile de se disculper (ATF 112 Ib 456 consid. 4 p. 511). Selon le principe de la causalité des frais, le comportement du prévenu doit également être à l'origine des frais pour que ceux-ci puissent lui être imputés, s'il est mis, en particulier, au bénéfice d'une ordonnance de classement (A. KUHN / Y. JEANNERET [éds], Commentaire romand : Code de procédure pénale suisse, Bâle 2011, n. 2 ad art. 426). Le lien de causalité doit être adéquat (A. DONATSCH / T. HANSJAKOB / V. LIEBER [éds], Kommentar zur Schweizerischen Strafprozessordnung (StPO), 2ème éd., Zurich 2014, n. 15 ad art. 426 ; M. NIGGLI / M. HEER / H. WIPRÄCHTIGER, Schweizerische Strafprozessordnung / Schweizerische Jugendstrafprozessordnung, Basler Kommentar StPO/JStPO, 2ème éd., Bâle 2013, n. 32 ad art. 426). Le juge doit fonder sa condamnation aux frais sur des faits qui ne sont pas contestés ou qui sont établis (ATF 112 Ia 371 consid. 2a in fine p. 374 ; arrêt du Tribunal fédéral 1B.120/2011 du 16 juin 2011 consid. 2.2). Cette condamnation se limitera aux frais que le comportement fautif a entraînés (ATF 116 Ia 162 consid. 2d/bb p. 171 ; arrêt du Tribunal fédéral 6B_215/2009 du 23 juin 2009 consid. 2.6).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(arrêts du Tribunal fédéral 6B_143/2010 du 22 juin 2010 consid. 3.1 ; 1P.584/2006 du 22 décembre 2006</w:t>
      </w:r>
    </w:p>
    <w:p>
      <w:r>
        <w:t>- 20/23 - P/17545/2016 consid. 9.3 ; 1P.543/2001 du 1er mars 2002 consid. 1.2). Pourtant, il est nécessaire que les circonstances factuelles en cause soient incontestées ou déjà suffisamment prouvées (ATF 115 Ia 309 consid. 1a s. p. 310 s. ; 112 Ia 371 consid. 2a in fine p. 374).</w:t>
      </w:r>
    </w:p>
    <w:p>
      <w:r>
        <w:t>6.2. En l'espèce, les faits reprochés à l'appelant ont partiellement été classés par le Ministère public, faute de prévention suffisante, le 1er février 2017 s'agissant d'avoir dit à l'intimé qu'il savait où trouver des explosifs et qu'il allait faire sauter l'exploitation. Ces propos s'inscrivant dans le contexte de menaces pour lesquels sa condamnation est confirmée en appel et n'ayant pas commandé d'instruction spécifique, il ne se justifie pas de revoir la répartition des frais de première instance. S'agissant du classement partiel intervenu le 8 mai 2017 pour cause de prescription de l'infraction d'entrée illégale, les circonstances factuelles en cause étaient incontestées et l'appelant a été reconnu coupable de séjour illégale, de sorte qu'il se justifie, sans qu'il n'y ait de violation du principe de présomption d'innocence, de laisser les frais de la procédure y afférents à sa charge. 6.3. En appel, l'appelant, qui succombe, supportera les frais de la procédure envers l'État, comprenant un émolument de CHF 2'000.- (art. 428 CPP). 7. 7.1. Aux termes de l'art. 429 al. 1 CPP, le prévenu a un droit à une indemnisation et à la réparation de son tort moral s'il est acquitté totalement ou en partie ou s'il bénéficie d'une ordonnance de classement.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 7 mars 2017 consid. 2.1 et les références ; 6B_187/2015 du 28 avril 2015 consid. 6.1.2 ; C. GENTON / C. PERRIER, Les prétentions du prévenu en indemnités et en réparation du tort moral, in Jusletter du 13 février 2012, p. 3, n. 11 ; cf. aussi A. KUHN / Y. JEANNERET [éds], Commentaire romand : Code de procédure pénale suisse, Bâle 2011, n. 13 ss ad art. 429 CPP, qui appliquent par analogie la théorie des concours d'infractions). Un éventuel concours imparfait n'implique aucunement un acquittement du chef de la qualification qui n'est finalement pas retenue à la charge du prévenu en raison dudit concours imparfait</w:t>
      </w:r>
    </w:p>
    <w:p>
      <w:r>
        <w:t>- 21/23 - P/17545/2016 (arrêts du Tribunal fédéral 6B_80/2016 du 7 mars 2017 consid. 2.3 et les références ; 6B_392/2015 du 11 mars 2016 consid. 2). L'autorité pénale compétente pour liquider l'indemnisation est celle qui a prononcé l'abandon de la poursuite pénale (A. KUHN / Y. JEANNERET [éds], op. cit., n. 51 ad art. 429 ; G. PIQUEREZ / A. MACALUSO, Procédure pénale suisse, Genève 2011, n. 2286 p. 729 ; ACPR/362/2011 du 7 décembre 2011).</w:t>
      </w:r>
    </w:p>
    <w:p>
      <w:r>
        <w:t>7.2. Au vu du sort réservé aux frais de procédure de première instance, laissés à charge du prévenu nonobstant la non-entrée en matière et le classement partiels, il n'y a pas lieu à l'indemniser pour ses frais de défense y afférents dans la mesure où ils n'ont pas commandé d'activité particulière de son conseil, ce qu'il ne soutient ni n'étaie. * * * * *</w:t>
      </w:r>
    </w:p>
    <w:p>
      <w:r>
        <w:t>- 22/23 - P/17545/2016</w:t>
      </w:r>
    </w:p>
    <w:p>
      <w:r>
        <w:rPr>
          <w:b/>
        </w:rPr>
        <w:t>E. 4</w:t>
      </w:r>
    </w:p>
    <w:p>
      <w:r>
        <w:t>4.1.1. 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4.1.2.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Les cas de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conduire à un</w:t>
      </w:r>
    </w:p>
    <w:p>
      <w:r>
        <w:t>- 12/23 - P/17545/2016 acquittement. L'appréciation définitive des déclarations des participants incombe au juge du fond (ATF 137 IV 122 consid. 3.3 = JdT 2012 IV p. 79 ; M. NIGGLI / M. HEER / H. WIPRÄCHTIGER [éds], Strafprozessordnung / Jugendstrafprozessordnung, Basler Kommentar StPO/JStPO, 2ème éd., Bâle 2014, n. 83 ad art. 11). 4.2.1.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Les menaces de lésions corporelles graves ou de mort doivent être considérées comme des menaces graves au sens de l'art. 180 CP (arrêt du Tribunal fédéral 6B_655/2007 du 11 avril 2008 consid. 8.2).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 4.2.2. De manière générale, les autorités parallèlement compétentes ne sont pas liées par les constatations et les interprétations juridiques de l'autre (Arrêt du Tribunal fédéral 8C_98/2016 du 15 décembre 2016 consid. 4.2.2. = SJ 2017 I 388). En matière de circulation routière, la jurisprudence commande à l'autorité administrative de ne pas s'écarter sans raisons des faits établis au pénal, en particulier lorsque l'enquête pénale a donné lieu à des investigations approfondies et lorsque le juge a entendu directement les parties et les témoins (ATF I 363 consid. 2.3.2. ; ATF 136 II 447 consid. 3.1. ; ATF 115 Ib 163 consid. 2a ; ATF 103 Ib 101 consid. 2.b). En revanche, cette retenue ne se justifie pas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136 II 447 consid. 3.1., ATF 124 II 8 consid. 3d/aa ; ATF 109 Ib 203 consid. 1). Cette jurisprudence s'applique également dans d'autres domaines du droit, comme</w:t>
      </w:r>
    </w:p>
    <w:p>
      <w:r>
        <w:t>- 13/23 - P/17545/2016 l'indemnisation des victimes d'infractions (ATF 129 II 312 consid. 2.4. et ATF 124 II</w:t>
      </w:r>
    </w:p>
    <w:p>
      <w:r>
        <w:rPr>
          <w:b/>
        </w:rPr>
        <w:t>E. 8</w:t>
      </w:r>
    </w:p>
    <w:p>
      <w:r>
        <w:t>consid. 3d/aa), ou encore en matière fiscale (Arrêt 2C_916/2014 du 26 septembre 2016 consid. 7.3). 4.2.3. 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Cette condition n'est pas réalisée lorsque l'attaque a cessé ou qu'il n'y a pas encore lieu de s'y attendre (ATF 93 IV 83).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(ATF 93 IV 81 p. 83 ; arrêts du Tribunal fédéral 6B_346/2016 du 31 janvier 2017 consid. 2.1.2 ; 6B_889/2013 du 17 février 2014 consid. 2.1).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 Genève/Bâle/Zurich 2011, n. 555, p. 189). 4.3.1. En l'espèce, appelant et intimé s'accordent en définitive à dire qu'un litige est survenu le 24 février 2016 sur l'exploitation agricole où ils travaillaient tous deux,</w:t>
      </w:r>
    </w:p>
    <w:p>
      <w:r>
        <w:t>- 14/23 - P/17545/2016 relativement à la manière dont le second entendait que le premier accomplisse sa tâche, ayant amené leur patron D______ à intervenir. Les parties ont par contre donné des versions différentes sur les propos tenus par l'appelant. Il sied par conséquent d'apprécier leurs déclarations respectives à la lumière des autres éléments du dossier. La CPAR relève que l'intimé a été constant dans ses déclarations sur l'essentiel de l'épisode, à savoir qu'il a toujours affirmé avoir été menacé en deux temps par l'appelant, une première fois avant que leur patron n'arrive sur place, puis une seconde fois en sa présence, alors que ce dernier lui avait signifié son licenciement avec effet immédiat. L'intimé a constamment évoqué des menaces de lui trancher la gorge, joignant le geste à la parole. Sa version des faits est pleinement corroborée par celle du propriétaire de l'exploitation. A cet égard, on ne trouve dans le dossier d'autre justification au téléphone que lui a passé l'intimé pour l'inviter à venir que le fait que ce dernier ait estimé que l'appelant avait, par ses menaces de mort, dépassé les limites de ce qui demeure admissible dans des rapports de travail, y compris dans le monde "rustre et masculin" de l'agriculture, pour reprendre les termes de l'appelant. Présent donc lors du second épisode de menaces, D______ a confirmé celle proférée par l'appelant de le "tuer, tu es mort". On discerne mal pour quelle autre raison que ces menaces de mort, prises au sérieux tant par l'employeur que l'employé visé, celui-là aurait licencié avec effet immédiat l'appelant qui lui donnait par ailleurs satisfaction dans ses tâches depuis près de sept ans. Il est à cet égard non pertinent pour la qualification de l'infraction de menace que le Tribunal des Prudhommes ait qualifié les propos tenus comme insuffisants à fonder un congé pour justes motifs. D'autres employés présents ont corroboré la dispute intervenue entre l'appelant et l'intimé. Le témoin H______ a évoqué le retour de l'intimé au G______ "entre quatre planches". D______ a rapporté des menaces de mort pour le cas où l'intimé ne rentrerait pas au G______, dont lui avait fait part ce dernier lors du téléphone pur lui demander de rejoindre l'exploitation. Le témoin J______ a quant à lui certes exclu des menaces de mort, mais a dit avoir entendu l'appelant dire à l'intimé qu'il allait le "taper" s'il ne disait pas la vérité, relevant qu'il était alors furieux. En définitive, seul le témoin K______, qui a reconnu ne pas avoir respecté les ordres de l'intimé, tout comme l'appelant, prétend que rien ne s'est passé jusqu'à l'arrivée de D______, lequel aurait directement saisi l'appelant par le col. Ce témoignage est partant grandement à relativiser dans la mesure où il occulte une quelconque dispute préalable, pourtant décrite par tous, dont le témoin I______, et qu'il s'avère invraisemblable que l'intimé</w:t>
      </w:r>
    </w:p>
    <w:p>
      <w:r>
        <w:t>- 15/23 - P/17545/2016 ait demandé à son patron de se déplacer simplement pour l'informer de ce que ce témoin et l'appelant ne plantaient pas les oignons au bon endroit. Il appert en revanche que l'appelant a d'emblée cherché à se présenter comme la victime ayant été licenciée à mauvais escient. Il ne convainc pas en prétendant que l'intimé aurait appelé leur patron simplement parce que lui-même lui aurait dit "laisse-moi tranquille, je travaille", mais devient davantage crédible lorsqu'il admet avoir lancé un "avertissement général" au moment de l'intervention de D______ d'étrangler celui qui le toucherait ou lui ferait du mal, d'où la réaction de son patron de s'interposer et de le repousser. Il est aussi difficile de le croire lorsqu'il prétend ne jamais avoir eu de conflit sur l'exploitation alors que son patron a dit avoir eu connaissance par un employé qui y avait assisté, de menaces avec un couteau vis-à- vis de F______ qui a déposé plainte pour ces faits mais l'a retirée. Enfin, le témoignage du cousin de l'appelant qui le décrit comme une personne fiable, honnête et sympathique, sans que l'on sache même s'il le voit fréquemment et dans quelles circonstances, n'exclut pas que confronté à une situation conflictuelle sur son lieu de travail il ne soit capable de tenir des propos menaçants. Ainsi, la version du plaignant s'avère davantage plausible et étayée que celle de l'appelant qui à l'évidence minimise les termes employés lors du conflit du 24 février 2016. Au vu de ce qui précède, la CPAR tient pour établi que l'appelant a menacé de mort l'intimé à cette date et ce faisant l'a effrayé au point que ce dernier ait craint de sortir de chez lui au petit matin pour se rendre au travail, à tout le moins un certain temps, ce qui s'explique également par la crainte de représailles dans la mesure où le licenciement du premier est intervenu consécutivement à cet épisode. 4.3.2. L'appelant ne saurait prétendre valablement, ce qu'il fait pour la première fois au stade de l'appel, avoir agi en état de légitime défense dont les conditions ne sont pas réalisées. A s'en tenir à sa version, le "laisse-moi tranquille, je travaille" articulé à l'encontre du plaignant, ne saurait correspondre à une réaction de peur mais bien un agacement face à son supérieur qui, avant l'arrivée de leur patron, lui demandait de s'occuper des oignons en un autre endroit. S'agissant du second épisode, au moment de l'intervention de D______, l'appelant est allé, comme retenu supra, au-delà de l'"avertissement général" en disant qu'il étranglerait celui qui le toucherait ou lui ferait du mal, menaces de mort proférées distinctement à l'endroit du plaignant. Lesdites menaces sont intervenues en réaction à l'annonce de son licenciement immédiat, que l'appelant a mis sur le compte du</w:t>
      </w:r>
    </w:p>
    <w:p>
      <w:r>
        <w:t>- 16/23 - P/17545/2016 plaignant qui venait de dénoncer son comportement auprès de leur patron. L'appelant échoue à démontrer qu'il aurait à ce moment précis fait l'objet d'une attaque imminente de l'intimé, de sorte qu'il ne saurait être mis au bénéfice de la légitime défense. En conclusion, il y a lieu de confirmer le verdict de culpabilité du chef de menaces. 5.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5.1.2. Les nouvelles dispositions sur le droit des sanctions sont entrées en vigueur le 1er janvier 2018. Cette réforme marque incontestablement un durcissement. La peine pécuniaire est désormais limitée à 180 jours (art. 34 al. 1 CP). A l'aune de l'art. 2 CP, cette réforme du droit des sanctions est moins favorable à la personne condamnée qui pourra ainsi revendiquer l'application du droit en vigueur au</w:t>
      </w:r>
    </w:p>
    <w:p>
      <w:r>
        <w:t>- 17/23 - P/17545/2016 31 décembre 2017 si les actes qu'il a commis l'ont été sous l'empire de ce droit, comme c'est le cas en l'espèce. L'ancien droit est donc applicable.</w:t>
      </w:r>
    </w:p>
    <w:p>
      <w:r>
        <w:t>5.1.3.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5.1.4. Selon l’art. 49 al. 1 CP, si, en raison d’un ou de plusieurs actes, l’auteur remplit les conditions de plusieurs peines de même genre, le juge le condamne à la peine de l’infraction la plus gave et l’augmente dans une juste proportion. Il ne peut toutefois excéder de plus de la moitié le maximum de la peine prévue pour cette infraction. Il est en outre lié par le maximum légal de chaque peine. Il y a plusieurs peines identiques lorsque le tribunal prononce dans le cas d'espèce, pour chaque norme violée, des peines du même genre (méthode concrète) (ATF 138 IV 120 consid. 5.2 p. 122 ss). 5.2. La faute de l'appelant n'est pas négligeable. Il a proféré des menaces de mort qui ont été prises au sérieux par l'intimé au point que ce dernier craignait depuis lors de sortir de chez lui au petit matin pour se rendre au travail. Il l'a fait en raison d'un comportement colérique qu'il n'a su maîtriser et sans se soucier des conséquences sur autrui. L'appelant a aussi séjourné et travaillé en Suisse pendant près de sept ans en toute illégalité, faisant fi de la loi dans son seul intérêt. Sa situation personnelle ne saurait justifier ses agissements. Sa collaboration doit être qualifiée de moyenne. Il lui était en effet difficile de nier sa présence illégale en Suisse, et il conteste encore au stade de l'appel les menaces nonobstant les éléments le mettant en cause. Il n'a présenté aucune excuse au plaignant. Autant dire qu'il n'y a aucune prise de conscience du caractère illégal de ce second comportement.</w:t>
      </w:r>
    </w:p>
    <w:p>
      <w:r>
        <w:t>- 18/23 - P/17545/2016 Il y a concours d'infractions au sens de l'art. 49 al. 1 CP justifiant une augmentation de la peine dans une juste proportion. L'appelant n'a pas d'antécédents, facteur neutre sur la fixation de la peine (ATF 141 IV 61 consid. 6.3.2 p. 70). Sa condamnation à une peine pécuniaire de 90 jours-amende tient adéquatement compte de ces éléments et le montant de l'unité arrêté à CHF 10.- est conforme au minimum jurisprudentiel, désormais ancré dans l'art. 34 CP en vigueur à compter du 1er janvier 2018. Le sursis, au demeurant justifié, lui est acquis (art. 391 al. 2 CPP) et le délai d'épreuve de deux ans, le minimum légal, de nature à le détourner de la commission de nouvelles infractions. 6. 6.1.1.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6.1.2. La condamnation d'un prévenu acquitté à supporter tout ou partie des frais doit respecter la présomption d'innocence,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p. 334 ; ATF 116 Ia 162 consid. 2c p. 168 ; arrêts du Tribunal fédéral 6B_1176/2015 du 23 novembre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