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AARP/129/2017 vom 18. April 2017</w:t>
      </w:r>
    </w:p>
    <w:p>
      <w:r>
        <w:t>GE Cour de justice, 2017-04-18, FR</w:t>
      </w:r>
    </w:p>
    <w:p>
      <w:r>
        <w:rPr>
          <w:b/>
        </w:rPr>
        <w:t xml:space="preserve">Quelle: </w:t>
      </w:r>
      <w:r>
        <w:t>https://mcp.opencaselaw.ch/entscheid/ge_gerichte_AARP_129_2017</w:t>
      </w:r>
    </w:p>
    <w:p>
      <w:r>
        <w:t>FR: GE_GERICHTE AARP/129/2017 du 18 avril 2017</w:t>
      </w:r>
    </w:p>
    <w:p>
      <w:r>
        <w:t>IT: GE_GERICHTE AARP/129/2017 del 18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 est recevable pour avoir été interjeté et motivé selon la forme et dans les délais prescrits (art. 398 et 399 du Code de procédure pénale, du 5 octobre 2007 [CPP ; RS 312.0]).</w:t>
      </w:r>
    </w:p>
    <w:p>
      <w:r>
        <w:t>La partie qui attaque seulement certaines parties du jugement est tenue d'indiquer dans la déclaration d'appel, de manière définitive, sur quelles parties porte l'appel, à savoir (art. 399 al. 4 CPP) : la question de la culpabilité, le cas échéant en rapport avec chacun des actes (let. a) ; la quotité de la peine (let. b) ; les mesures qui ont été ordonnées (let. c) ; les prétentions civiles ou certaines d'entre elles (let. d) ; les conséquences accessoires du jugement (let. e) ; les frais, les indemnités et la réparation du tort moral (let. f) ; les décisions judiciaires ultérieures (let. g).</w:t>
      </w:r>
    </w:p>
    <w:p>
      <w:r>
        <w:t>La Chambre limite son examen aux violations décrites dans l'acte d'appel (art. 404 al. 1 CPP), sauf en cas de décisions illégales ou inéquitables (art. 404 al. 2 CPP).</w:t>
      </w:r>
    </w:p>
    <w:p>
      <w:r>
        <w:rPr>
          <w:b/>
        </w:rPr>
        <w:t>E. 2</w:t>
      </w:r>
    </w:p>
    <w:p>
      <w:r>
        <w:t>Il est manifeste que les faits, tels qu'admis à diverses reprises par l'intimé, avec des explications variables quant à leur origine, ne relèvent pas de la notion de négligence, au sens juridique du terme mais bien, au moins, du dol éventuel.</w:t>
      </w:r>
    </w:p>
    <w:p>
      <w:r>
        <w:t>L'appel du MP est donc fondé, ce que l'intimé ne conteste pas.</w:t>
      </w:r>
    </w:p>
    <w:p>
      <w:r>
        <w:rPr>
          <w:b/>
        </w:rPr>
        <w:t>E. 3</w:t>
      </w:r>
    </w:p>
    <w:p>
      <w:r>
        <w:t>En ce qui concerne la peine, la sanction requise, de 30 jours-amende, à CHF 10.- l'unité, est adéquate, tant au regard des critères de l'art. 47 du Code pénal suisse du</w:t>
      </w:r>
    </w:p>
    <w:p>
      <w:r>
        <w:t>- 4/6 - P/5989/2016 21 décembre 1937 (CP - RS 311.0), principalement celui de la gravité de la faute, légère en l'occurrence, qu'en ce qui concerne la situation financière obérée de l'intimé.</w:t>
      </w:r>
    </w:p>
    <w:p>
      <w:r>
        <w:t>De même : les conditions du sursis sont réalisées, il n'y a pas de raison d'infliger un délai plus long que le délai minimum, et il se justifie de prononcer une amende de CHF 400.- au titre de sanction immédiate, ce que l'intimé reconnaît également.</w:t>
      </w:r>
    </w:p>
    <w:p>
      <w:r>
        <w:t>En revanche, afin de ne pas sanctionner plus lourdement l'intimé du fait que sa situation financière est obérée, la peine privative de liberté de substitution sera arrêtée à quatre jours par référence à un taux de conversion de CHF 100.-/jour ainsi que suggéré par certains auteurs (M. DUPUIS / B. GELLER / G. MONNIER / L.MOREILLON / C. PIGUET / C. BETTEX / D. STOLL (éds), Code pénal - Petit commentaire, Bâle 2012, n. 9 ad art. 106 al. 3).</w:t>
      </w:r>
    </w:p>
    <w:p>
      <w:r>
        <w:rPr>
          <w:b/>
        </w:rPr>
        <w:t>E. 4</w:t>
      </w:r>
    </w:p>
    <w:p>
      <w:r>
        <w:t>Conformément à l'accord intervenu en audience, les frais de la procédure d'appel seront exceptionnellement laissés à la charge de l'État alors que ceux de première instance, forfaitairement arrêtés par le Tribunal de police à CHF 100.-, incomberont au condamné.</w:t>
      </w:r>
    </w:p>
    <w:p>
      <w:r>
        <w:rPr>
          <w:b/>
        </w:rPr>
        <w:t>E. 5</w:t>
      </w:r>
    </w:p>
    <w:p>
      <w:r>
        <w:t>Par souci de clarté, le dispositif du jugement entrepris sera entièrement reformulé. * * * * *</w:t>
      </w:r>
    </w:p>
    <w:p>
      <w:r>
        <w:t>- 5/6 - P/5989/2016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