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AARP/128/2020 vom 6. September 2019</w:t>
      </w:r>
    </w:p>
    <w:p>
      <w:r>
        <w:t>GE Cour de justice, 2019-09-06, FR</w:t>
      </w:r>
    </w:p>
    <w:p>
      <w:r>
        <w:rPr>
          <w:b/>
        </w:rPr>
        <w:t xml:space="preserve">Quelle: </w:t>
      </w:r>
      <w:r>
        <w:t>https://mcp.opencaselaw.ch/entscheid/ge_gerichte_AARP_128_2020</w:t>
      </w:r>
    </w:p>
    <w:p>
      <w:r>
        <w:t>FR: GE_GERICHTE AARP/128/2020 du 6 septembre 2019</w:t>
      </w:r>
    </w:p>
    <w:p>
      <w:r>
        <w:t>IT: GE_GERICHTE AARP/128/2020 del 6 settembre 2019</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Conformément aux considérants de l'arrêt du Tribunal fédéral du 17 décembre 2019, la Cour de céans, statuant à nouveau, doit uniquement examiner l’application aux faits de la cause de la circonstance atténuante du long temps écoulé. Les autres développements effectués en lien avec la fixation de la peine en tant que tels n’ont pas été remis en question et sont acquis. En revanche, il n’y a pas lieu de revoir l’appréciation des conséquences de la violation du principe de célérité. Il ressort en effet du considérant 5 de l’arrêt de renvoi que le prévenu a fait valoir dans son recours que cette violation aurait dû donner lieu à une réduction de sa peine plus importante que celle concédée par la Cour de céans,</w:t>
      </w:r>
    </w:p>
    <w:p>
      <w:r>
        <w:t>- 6/17 - P/5573/2011 grief qui a été écarté par le Tribunal fédéral. La réduction de peine opérée pour ce motif dans l’arrêt du 6 septembre 2019, soit un quart, est acquise à l’appelant.</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rPr>
          <w:b/>
        </w:rPr>
        <w:t>E. 2.3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ATF 144 IV 217 consid. 3.5 ; arrêt du Tribunal fédéral 6B_1216/2017 du 11 juin 2018 consid. 1.1.1), en tenant là aussi compte de toutes</w:t>
      </w:r>
    </w:p>
    <w:p>
      <w:r>
        <w:t>- 7/17 - P/5573/2011 les circonstances y relatives (arrêts du Tribunal fédéral 6B_1175/2017 du 11 avril 2018 consid. 2.1 in medio ; 6B_688/2014 du 22 décembre 2017 consid. 27.2.1).</w:t>
      </w:r>
    </w:p>
    <w:p>
      <w:r>
        <w:rPr>
          <w:b/>
        </w:rPr>
        <w:t>E. 2.4</w:t>
      </w:r>
    </w:p>
    <w:p>
      <w:r>
        <w:t>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(ATF 134 IV 17 consid. 3.5 s. p. 24 s.).</w:t>
      </w:r>
    </w:p>
    <w:p>
      <w:r>
        <w:rPr>
          <w:b/>
        </w:rPr>
        <w:t>E. 2.4.5</w:t>
      </w:r>
    </w:p>
    <w:p>
      <w:r>
        <w:t>p. 92 ss). L'unité juridique d'actions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w:t>
      </w:r>
    </w:p>
    <w:p>
      <w:r>
        <w:t>- 8/17 - P/5573/2011 CP), ou de services de renseignements politiques ou économiques (art. 272 et 273 CP; ATF 132 IV 49 consid. 3.1.1.3 p. 54; 131 IV 83 consid. 2.4.5 p. 93 s.).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p. 54 s.; 131 IV 83 consid. 2.4.5 p. 94).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(cf. arrêt du Tribunal fédéral 6B_310/2014 du 23 novembre 2015 consid. 4.2).</w:t>
      </w:r>
    </w:p>
    <w:p>
      <w:r>
        <w:rPr>
          <w:b/>
        </w:rPr>
        <w:t>E. 2.5</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w:t>
      </w:r>
    </w:p>
    <w:p>
      <w:r>
        <w:rPr>
          <w:b/>
        </w:rPr>
        <w:t>E. 2.6</w:t>
      </w:r>
    </w:p>
    <w:p>
      <w:r>
        <w:t>Aux termes de l’art. 98 let. b CP, la prescription court dès le jour du dernier acte si l'activité coupable de l'auteur s'est exercée à plusieurs reprises. La jurisprudence au sujet de cette disposition a évolué au fil du temps, le Tribunal fédéral abandonnant la notion de délit successif au profit de celle d'unité du point de vue de la prescription. Cette dernière notion a ensuite été remplacée par la figure de l'unité juridique ou naturelle d'actions (cf. ATF 131 IV 83 consid. 2.4.3 à</w:t>
      </w:r>
    </w:p>
    <w:p>
      <w:r>
        <w:rPr>
          <w:b/>
        </w:rPr>
        <w:t>E. 2.7</w:t>
      </w:r>
    </w:p>
    <w:p>
      <w:r>
        <w:t>La juridiction d'appel n'est pas liée par les conclusions des parties, sauf lorsqu'elle statue sur une action civile (art. 391 al. 1 let. b CPP). Ce principe est restreint à un double égard : d'une part, la juridiction d'appel n'examine que les points attaqués du jugement de première instance (art. 404 al. 1 CPP), et d'autre part, elle doit observer l'interdiction de la reformatio in pejus inscrite à l'art. 391 al. 2 CPP. L'existence d'une reformatio in pejus doit être examinée à l'aune du dispositif (ATF 142 IV 129 consid. 4.5 p. 136 ; ATF 141 IV 132 consid. 2.7.3 p. 140 ; ATF 139 IV 282 consid. 2.6 p. 289 ; arrêt du Tribunal fédéral 6B_1021/2016 du 20 septembre 2017 consid. 2.1.1). En cas d'admission de l'appel de la partie plaignante sur la culpabilité, la cour d'appel doit fixer une nouvelle peine correspondant à la culpabilité finalement admise, cas échéant en prononçant une sanction plus sévère que celle arrêtée en première instance. Que le MP n'ait pas de son côté formé d'appel ou d'appel joint est sans portée, dès lors que la partie plaignante est habilitée à former appel sur la seule question de la culpabilité (art. 382 al. 2 CPP ; ATF 139 IV 84 consid 1.2 p. 88 ; arrêt du Tribunal fédéral 6B_1133/2013 du 1er avril 2014 consid. 2.1).</w:t>
      </w:r>
    </w:p>
    <w:p>
      <w:r>
        <w:rPr>
          <w:b/>
        </w:rPr>
        <w:t>E. 2.8</w:t>
      </w:r>
    </w:p>
    <w:p>
      <w:r>
        <w:t>Dans son arrêt du 6 septembre 2019, la CPAR a qualifié la faute du prévenu de lourde, son mobile étant de subvenir au train de vie de sa famille. L’absence d’antécédents était un facteur neutre sur la fixation de sa peine. Sa situation personnelle, a priori confortable, n’expliquait ni n’excusait son comportement. Sa collaboration à la procédure avait été mauvaise. Il n’avait et n’a toujours pas, même à ce stade de la procédure, fourni d’explications au sujet de ses troubles de</w:t>
      </w:r>
    </w:p>
    <w:p>
      <w:r>
        <w:t>- 9/17 - P/5573/2011 santé attestés par certificat médical dont il se prévaut toujours pour solliciter une peine clémente. Il avait nié l’évidence, fourni des explications variables et n’avait pas hésité à salir les plaignants pour se soustraire à sa responsabilité. Son attitude avait clairement fait obstacle à une réparation par la banque. La CPAR a retenu, dans son arrêt du 6 septembre 2019, que le prévenu aurait pu en tout temps mettre un terme à ses agissements, mais avait préféré persévérer à la manière d’un joueur qui cherche à « se refaire ». Cette constatation exclut, comme l’a d’ailleurs laissé entendre le Tribunal fédéral dans son arrêt de renvoi, de retenir l’unité naturelle d’action. Le temps écoulé doit être mesuré à la date du prononcé du 6 septembre 2019 (cf. art. 437 al. 2 CPP, par analogie). Ainsi, le prévenu doit être mis au bénéfice de la circonstance atténuante du long temps écoulé pour les faux dans les titres (dont la date de création n’a pas pu être établie, et dont il est ici retenu qu’ils ont été créés au plus tard à la date apparaissant sur les documents, soit entre février et avril 2009) ainsi que pour les détournements commis au préjudice de D______, à l’exception de celui de EUR 175'600.- du 16 octobre 2009. En revanche, les détournements commis au détriment de B______ ont été commis entre décembre 2009 et septembre 2010, soit moins de dix ans avant le jugement du 6 septembre 2019, tout comme ceux commis au détriment de C______. Ce sont donc 19 cas d’abus de confiance, pour un montant total correspondant grosso modo aux trois-cinquièmes du préjudice occasionné, qui doivent bénéficier d’une réduction de peine liée à cette circonstance atténuante. La réduction appliquée sera d’un quart, proportion qui apparaît adéquate dans la mesure où le prévenu ayant poursuivi son activité sur une longue période, soit jusqu’en septembre 2010, il ne peut être retenu qu’il se soit bien comporté durant tout l’intervalle au sens de l’art. 48 let. e CP. Les réductions ne doivent toutefois pas être multipliées, mais additionnées et donc calculées sur la peine théoriquement encourue par le prévenu. Sans tenir compte de ces réductions (un quart pour la violation du principe de célérité et un quart pour la circonstance atténuante du temps écoulé), la peine d’ensemble, telle que déterminée dans l’arrêt du 6 septembre 2019, a été fixée comme suit, au terme de considérations qui demeurent intégralement valables, la situation de l’appelant ne s’étant pas modifiée depuis. L’infraction la plus grave, celle du 23 novembre 2009, conduit à la détermination de la peine de base, soit une peine privative de liberté de huit mois. Conformément au principe de l'aggravation, les trois autres actes d'abus de confiance portant sur des montants importants (soit ceux au détriment de D______ du 26 mars 2009, d'un montant d'EUR 377'000.-, du 15 avril 2009, d'un montant de CHF 487'000.-, et du 5 mai 2009, d'un montant de CHF 460'000.-), aggravent cette peine de quatre mois chacun, soit douze mois. S'y ajoutent neuf</w:t>
      </w:r>
    </w:p>
    <w:p>
      <w:r>
        <w:t>- 10/17 - P/5573/2011 autres actes d'abus de confiance d'un montant supérieur à CHF 100'000.- chacun, commis en 2009 (dont cinq remontent à plus de dix ans) ; ces actes emportent chacun une aggravation de trois mois, soit 27 mois. Enfin, le prévenu est également reconnu coupable de 13 autres abus de confiance, portant sur des montants inférieurs à CHF 100’000.- (dont dix remontent à plus de dix ans). La peine additionnelle pour chacun de ces actes doit être d'un mois. La peine d'ensemble pour les abus de confiance s'élève ainsi à 60 mois. Enfin, les six faux dans les titres entraînent une peine additionnelle de trois mois. La peine d'ensemble encourue par le prévenu, sur cette base, s'élève donc à 63 mois. La réduction d’un quart liée à la violation du principe de célérité ramène la peine à 47 mois. Il convient encore de réduire cette peine de dix mois (soit : trois mois pour les actes des 26 mars, 15 avril et 5 mai 2009 ; trois mois et 23 jours pour cinq actes d'abus de confiance d'un montant supérieur à CHF 100'000.- chacun ; 80 jours pour les dix abus de confiance portant sur des montants inférieurs à CHF 100'000.- ; 23 jours pour les faux dans les titres) pour tenir compte du long temps écoulé, ce qui ramène la peine encourue à 37 mois. La peine prononcée doit être arrêtée à 36 mois, afin de permettre au prévenu de bénéficier du sursis partiel, soit la peine prononcée par les premiers juges. Il n’y a donc pas matière à s’interroger sur une éventuelle reformatio in pejus. Aucun élément ne permet en effet de retenir, à l'encontre du prévenu, un pronostic défavorable, notamment compte tenu du temps écoulé depuis les faits reprochés et de l'absence d'autres faits pénaux depuis cette date. La partie ferme de la peine sera fixée à six mois, soit la durée légale minimale, pour tenir compte également de la circonstance atténuante du long temps écoulé.</w:t>
      </w:r>
    </w:p>
    <w:p>
      <w:r>
        <w:rPr>
          <w:b/>
        </w:rPr>
        <w:t>E. 3</w:t>
      </w:r>
    </w:p>
    <w:p>
      <w:r>
        <w:t>Le Tribunal fédéral, par son arrêt du 17 décembre 2019, a annulé l’arrêt de la Cour de céans du 6 septembre précédent. Il convient dès lors de reprendre, dans le dispositif du présent arrêt, l’ensemble des aspects civils de la présente cause, sans qu’il soit nécessaire de reconduire ici les explications et développements juridiques y relatifs, étant rappelé que ces questions ne sont plus litigieuses.</w:t>
      </w:r>
    </w:p>
    <w:p>
      <w:r>
        <w:rPr>
          <w:b/>
        </w:rPr>
        <w:t>E. 4.1</w:t>
      </w:r>
    </w:p>
    <w:p>
      <w:r>
        <w:t>Selon l'art. 426 al. 1 CPP, le prévenu supporte les frais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ou a bénéficié d'une ordonnance de classement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Il convient de</w:t>
      </w:r>
    </w:p>
    <w:p>
      <w:r>
        <w:t>- 11/17 - P/5573/2011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rPr>
          <w:b/>
        </w:rPr>
        <w:t>E. 4.2</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w:t>
      </w:r>
    </w:p>
    <w:p>
      <w:r>
        <w:rPr>
          <w:b/>
        </w:rPr>
        <w:t>E. 4.3</w:t>
      </w:r>
    </w:p>
    <w:p>
      <w:r>
        <w:t>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 13 avril 2018 consid. 2.1).</w:t>
      </w:r>
    </w:p>
    <w:p>
      <w:r>
        <w:rPr>
          <w:b/>
        </w:rPr>
        <w:t>E. 4.4</w:t>
      </w:r>
    </w:p>
    <w:p>
      <w:r>
        <w:t>La question de l'indemnisation du prévenu (art. 429 CPP) doit être traitée en relation avec celle des frais. Si le prévenu supporte les frais en application de l'art. 426 al. 1 ou 2 CPP, une indemnité est en règle générale exclue (ATF 137 IV 352 consid. 2.4.2 p. 357 ; arrêt 6B_187/2015 du 28 avril 2015 consid. 6.1.2).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du Tribunal fédéral 6B_572/2018 du 1er octobre 2018 consid. 5.1.3 ; 6B_187/2015 précité consid. 6.1.2).</w:t>
      </w:r>
    </w:p>
    <w:p>
      <w:r>
        <w:rPr>
          <w:b/>
        </w:rPr>
        <w:t>E. 4.5</w:t>
      </w:r>
    </w:p>
    <w:p>
      <w:r>
        <w:t>Aux termes de l'art. 436 al. 1 CPP, les prétentions en indemnités dans la procédure de recours sont régies par les art. 429 à 434 CPP.</w:t>
      </w:r>
    </w:p>
    <w:p>
      <w:r>
        <w:t>- 12/17 - P/5573/2011</w:t>
      </w:r>
    </w:p>
    <w:p>
      <w:r>
        <w:t>L'Etat ne prend en charge les frais de défense que si l'assistance d'un avocat était nécessaire compte tenu de la complexité de l'affaire en fait ou en droit et que le volume de travail et donc les honoraires étaient ainsi justifiés (arrêt du Tribunal fédéral 6B_385/2017 du 5 décembre 2017 consid. 5.1 et les références citées). Les démarches superflues, abusives ou excessives ne sont pas indemnisées (ATF 115 IV 156 consid. 2d p. 160). L’indemnité pour les frais de défense doit correspondre au tarif usuel du barreau applicable dans le canton où la procédure se déroule et englober la totalité des coûts de défense (arrêts du Tribunal fédéral 6B_1183/2017 du 24 avril 2018 consid. 3.1 et 6B_47/2017 du 13 décembre 2017 consid. 1.1). Bien que le canton de Genève ne connaisse pas de tarif officiel des avocats, il a défini,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CPAR retient un tarif horaire de CHF 350.- pour un collaborateur (AARP/65/2017 du 23 février 2017). La décision sur les frais préjuge de la question de l'indemnisation. Lorsque la condamnation aux frais n'est que partielle, la réduction de l'indemnité devrait s'opérer dans la même mesure (arrêts du Tribunal fédéral 6B_548/2018 du 18 juillet 2018 consid. 1.1.2 ; 6B_1238/2017 du 12 avril 2018 consid. 2.1 ; 6B_385/2017 du</w:t>
      </w:r>
    </w:p>
    <w:p>
      <w:r>
        <w:rPr>
          <w:b/>
        </w:rPr>
        <w:t>E. 4.6</w:t>
      </w:r>
    </w:p>
    <w:p>
      <w:r>
        <w:t>En l'espèce, l'appelant n’obtient pas gain de cause, dans la mesure où la peine prononcée par les premiers juges est confirmée, nonobstant l’admission d’une circonstance atténuante et le verdict de culpabilité est aggravé suite à l’appel des parties plaignantes. En conséquence, les frais et indemnités, tels que déterminés dans l’arrêt du</w:t>
      </w:r>
    </w:p>
    <w:p>
      <w:r>
        <w:rPr>
          <w:b/>
        </w:rPr>
        <w:t>E. 4.7</w:t>
      </w:r>
    </w:p>
    <w:p>
      <w:r>
        <w:t>La sanction prononcée en l’espèce étant – sous l’angle de la partie ferme de la peine prononcée – plus clémente que celle prononcée le 6 septembre 2019, les frais de la procédure postérieure à l'arrêt du Tribunal fédéral seront laissés à la charge de l’Etat. En revanche, l’appelant n’obtenant pas de réduction de la peine par rapport à celle prononcée en première instance, il n’a pas droit à une indemnité. Conformément à l'art. 408 CPP, le jugement entrepris sera intégralement annulé et remplacé par le présent arrêt.</w:t>
      </w:r>
    </w:p>
    <w:p>
      <w:r>
        <w:rPr>
          <w:b/>
        </w:rPr>
        <w:t>E. 5</w:t>
      </w:r>
    </w:p>
    <w:p>
      <w:r>
        <w:t>décembre 2017 consid. 2.1).</w:t>
      </w:r>
    </w:p>
    <w:p>
      <w:r>
        <w:rPr>
          <w:b/>
        </w:rPr>
        <w:t>E. 6</w:t>
      </w:r>
    </w:p>
    <w:p>
      <w:r>
        <w:t>septembre 2019, doivent être intégralement confirmés.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