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AARP/128/2019 vom 16. April 2019</w:t>
      </w:r>
    </w:p>
    <w:p>
      <w:r>
        <w:t>GE Cour de justice, 2019-04-16, FR</w:t>
      </w:r>
    </w:p>
    <w:p>
      <w:r>
        <w:rPr>
          <w:b/>
        </w:rPr>
        <w:t xml:space="preserve">Quelle: </w:t>
      </w:r>
      <w:r>
        <w:t>https://mcp.opencaselaw.ch/entscheid/ge_gerichte_AARP_128_2019</w:t>
      </w:r>
    </w:p>
    <w:p>
      <w:r>
        <w:t>FR: GE_GERICHTE AARP/128/2019 du 16 avril 2019</w:t>
      </w:r>
    </w:p>
    <w:p>
      <w:r>
        <w:t>IT: GE_GERICHTE AARP/128/2019 del 16 aprile 2019</w:t>
      </w:r>
    </w:p>
    <w:p>
      <w:pPr>
        <w:pStyle w:val="Heading2"/>
      </w:pPr>
      <w:r>
        <w:t>Erwägungen</w:t>
      </w:r>
    </w:p>
    <w:p>
      <w:r>
        <w:rPr>
          <w:b/>
        </w:rPr>
        <w:t>E. 1.1</w:t>
      </w:r>
    </w:p>
    <w:p>
      <w:r>
        <w:t>L'appel est recevable pour avoir été interjeté et motivé selon la forme et dans les délais prescrits (art. 398 et 399 CPP). Une annonce d'appel n'était pas nécessaire (ATF 138 IV 157 consid. 2.1 p. 159 ; arrêt du Tribunal fédéral 6B_458/2013 du</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2. 2.1.1. Selon l'art. 98a al. 1 let. a LCR, est puni de l'amende quiconque importe, promeut, transmet, vend, remet ou cède sous une autre forme, installe, emporte dans un véhicule, fixe sur celui-ci ou utilise de quelque manière que ce soit des appareils ou des dispositifs conçus pour compliquer, perturber, voire rendre inefficace le contrôle officiel du trafic routier.</w:t>
      </w:r>
    </w:p>
    <w:p>
      <w:r>
        <w:t>Les comportements incriminés sont définis de manière très large, soit notamment l'acquisition, l'utilisation, voire même la simple présence dans un véhicule d'un tel appareil ou dispositif (A. BUSSY / B. RUSCONI / Y. JEANNERET / A. KUHN / C. MIZEL / CH. MÜLLER, Code suisse de la circulation routière : commentaire, 4e éd., Lausanne 2015, n. 2.2 ad art. 98a LCR).</w:t>
      </w:r>
    </w:p>
    <w:p>
      <w:r>
        <w:t>Sur le plan subjectif, l'infraction est punissable tant intentionnellement que par négligence (art. 100 ch. 1, 1ère phr. LCR ; arrêt du Tribunal fédéral 6B_139/2010 du 24 septembre 2010 consid. 3.1.1 ; A. BUSSY / B. RUSCONI / Y. JEANNERET / A. KUHN / C. MIZEL / CH. MÜLLER, op. cit., n. 2.3 ad art. 98a LCR ; Y. JEANNERET, Les dispositions pénales de la Loi sur la circulation routière (LCR), Berne 2007, n. 170 ad art. 99 aLCR).</w:t>
      </w:r>
    </w:p>
    <w:p>
      <w:r>
        <w:t>2.1.2. Aux termes de l'art. 21 CP, quiconque ne sait ni ne peut savoir au moment d'agir que son comportement est illicite n'agit pas de manière coupable. Le juge atténue la peine si l'erreur était évitable.</w:t>
      </w:r>
    </w:p>
    <w:p>
      <w:r>
        <w:t>- 5/10 - P/7458/2018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Il faut, pour que l'auteur puisse être mis au bénéfice de l'erreur de droit, non seulement qu'il ait eu ou cru avoir des raisons d'admettre que son acte n'était en rien contraire au droit, mais encore que ces raisons l'excusent de son erreur (ATF 104 IV 217 = JdT 1980 IV 2). 2.1.3. La jurisprudence a évoqué l'hypothèse de l'erreur de droit s'agissant de la méconnaissance de l'illicéité des détecteurs de radars que pouvait avoir un auteur résidant dans un Etat où la possession, l'acquisition ou le commerce des détecteurs de radars ne sont pas illicites. Dans ces circonstances, il a été admis que l'auteur qui envoyait un tel détecteur de radars en Suisse pouvait ignorer qu'il était susceptible de commettre un acte d'importation illicite (ATF 119 IV 81 consid. 2a = JdT 1993 I 715 n. 39 : l'autorité cantonale avait placé l'accusé au bénéfice d'une erreur de droit, mais le Tribunal fédéral n'a pas examiné l'affaire sous cet angle puisqu'il a finalement retenu qu'il n'y avait pas eu importation illicite). Cela dit, Selon JEANNERET à l'heure actuelle, ce raisonnement doit être relativisé, dans la mesure où l'interdiction stricte des détecteurs de radars tend à se généraliser (Y. JEANNERET, op. cit., n. 173 ad art. 99 aLCR).</w:t>
      </w:r>
    </w:p>
    <w:p>
      <w:r>
        <w:t>2.2. En l'espèce, il est établi que le 3 novembre 2017, le prévenu a circulé sur le territoire helvétique, à tout le moins, en transportant un avertisseur de radars, ce qu'il ne conteste d'ailleurs pas. Il a ainsi objectivement dérogé à l'art. 98a al. 1 let. a LCR.</w:t>
      </w:r>
    </w:p>
    <w:p>
      <w:r>
        <w:t>Dans son courrier d'opposition, l'intimé relève toutefois qu'il ignorait que la possession et l'utilisation de ce type d'appareil étaient interdites en suisse.</w:t>
      </w:r>
    </w:p>
    <w:p>
      <w:r>
        <w:t>- 6/10 - P/7458/2018</w:t>
      </w:r>
    </w:p>
    <w:p>
      <w:r>
        <w:t>Contrairement à ce qui a été retenu par le premier juge et comme le soutient justement le Ministère public, cette infraction est également punissable si elle est commise par négligence, ceci en application de la loi spéciale (art. 100 ch. 1 LCR), qui déroge à l'art. 12 al. 1 CP. En réalité, l'intimé se prévaut d’une erreur sur l’illicéité (art. 21 CP) plutôt que de la réalisation de l’infraction par négligence. Or, il ne saurait invoquer une telle erreur, au motif qu'il aurait dû s'informer de la réglementation en matière de circulation routière applicable en Suisse, à savoir un pays limitrophe à son pays de résidence, avant de prendre le volant et non simplement faire l'acquisition d'une vignette autoroutière. Il ne pouvait pas non plus se satisfaire de l'absence de mise en garde de son fournisseur. La simple consultation du site internet de C______ (https://www.______) permet d'ailleurs de constater qu'il y est mentionné que ce type d'appareil est interdit en Suisse. Compte tenu de ce qui précède, il sera retenu que l'intimé a enfreint l'art. 98a al. 1 let. a LCR, à tout le moins, par négligence. Le jugement entrepris sera dès lors réformé et l'appel admis.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w:t>
      </w:r>
    </w:p>
    <w:p>
      <w:r>
        <w:t>- 7/10 - P/7458/2018 2018 consid. 2.1 ; 6B_718/2017 du 17 janvier 2018 consid. 3.1 ; 6B_1428/2016 du 3 octobre 2017 consid. 4.1 ; 6B_326/2016 du 22 mars 2017 consid. 4.1).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 3.2. En l'espèce, la faute du prévenu est légère, en ce sens qu'il a enfreint de manière toute relative la bonne administration de la justice pénale. Sa collaboration a été bonne, dans la mesure où il n'a jamais contesté l'infraction reprochée, après avoir été pris sur le fait. Néanmoins, malgré son opposition, il n'a pas jugé utile de se rendre à son audience de jugement, à laquelle il a pourtant été valablement convoqué. Il n'a pas d'antécédent, facteur neutre dans la fixation de la peine (ATF 136 IV 1 consid. 2.6). Compte tenu de ce qui précède, il se justifie de prononcer une amende de CHF 320.-, quotité en soi non contestée par l'intimé, compte tenu de sa faute et de sa situation personnelle, laquelle n'est toutefois que très peu étayée, ce qui est notamment dû à l'absence de l'intimé devant le Tribunal de police. En outre, bien qu'il ait été sollicité à de nombreuses reprises, il n'a pas souhaité s'exprimer davantage que ce qu'il avait indiqué dans son courrier d'opposition. La peine privative de liberté de substitution sera arrêtée à trois jours, par référence à un taux de conversion de CHF 100.-/jour.</w:t>
      </w:r>
    </w:p>
    <w:p>
      <w:r>
        <w:t>- 8/10 - P/7458/2018 Par conséquent, le jugement entrepris sera réformé dans le sens des considérants.</w:t>
      </w:r>
    </w:p>
    <w:p>
      <w:r>
        <w:rPr>
          <w:b/>
        </w:rPr>
        <w:t>E. 4</w:t>
      </w:r>
    </w:p>
    <w:p>
      <w:r>
        <w:t>novembre 2013 consid. 1.3.2).</w:t>
      </w:r>
    </w:p>
    <w:p>
      <w:r>
        <w:t>La Chambre limite son examen aux violations décrites dans l'acte d'appel (art. 404 al. 1 CPP), sauf en cas de décisions illégales ou inéquitables (art. 404 al. 2 CPP).</w:t>
      </w:r>
    </w:p>
    <w:p>
      <w:r>
        <w:rPr>
          <w:b/>
        </w:rPr>
        <w:t>E. 4.1</w:t>
      </w:r>
    </w:p>
    <w:p>
      <w:r>
        <w:t>Les frais de la procédure sont mis à la charge des parties dans la mesure où elles ont obtenu gain de cause ou succombé (art. 428 al. 1 CPP). Si l'autorité de recours rend elle-même une nouvelle décision, elle se prononce également sur les frais fixés par l'autorité inférieure (al. 3).</w:t>
      </w:r>
    </w:p>
    <w:p>
      <w:r>
        <w:rPr>
          <w:b/>
        </w:rPr>
        <w:t>E. 4.2</w:t>
      </w:r>
    </w:p>
    <w:p>
      <w:r>
        <w:t>Vu l'issue de la procédure, l'intimé, qui succombe, supportera la totalité des frais de première instance et d'appel. * * * * *</w:t>
      </w:r>
    </w:p>
    <w:p>
      <w:r>
        <w:t>- 9/10 - P/7458/2018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