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AARP/126/2020 vom 5. November 2019</w:t>
      </w:r>
    </w:p>
    <w:p>
      <w:r>
        <w:t>GE Cour de justice, 2019-11-05, FR</w:t>
      </w:r>
    </w:p>
    <w:p>
      <w:r>
        <w:rPr>
          <w:b/>
        </w:rPr>
        <w:t xml:space="preserve">Quelle: </w:t>
      </w:r>
      <w:r>
        <w:t>https://mcp.opencaselaw.ch/entscheid/ge_gerichte_AARP_126_2020</w:t>
      </w:r>
    </w:p>
    <w:p>
      <w:r>
        <w:t>FR: GE_GERICHTE AARP/126/2020 du 5 novembre 2019</w:t>
      </w:r>
    </w:p>
    <w:p>
      <w:r>
        <w:t>IT: GE_GERICHTE AARP/126/2020 del 5 novembre 2019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En application de l’art. 190 al. 1 CP, l'auteur d’un viol est puni d'une peine privative de liberté d'un à dix ans.</w:t>
      </w:r>
    </w:p>
    <w:p>
      <w:r>
        <w:rPr>
          <w:b/>
        </w:rPr>
        <w:t>E. 2.2</w:t>
      </w:r>
    </w:p>
    <w:p>
      <w:r>
        <w:t>À l'aune de l'art. 2 CP, la réforme du droit des sanctions, entrée en vigueur le 1er janvier 2018, est en règle générale moins favorable à la personne condamnée (M. DUPUIS / L. MOREILLON / C. PIGUET / S. BERGER / M. MAZOU / V. RODIGARI [éds], Code pénal - Petit commentaire, 2e éd., Bâle 2017, Rem. prél. ad art. 34 à 41 CP, n. 6).</w:t>
      </w:r>
    </w:p>
    <w:p>
      <w:r>
        <w:t>Le nouveau droit des sanctions n'étant pas plus favorable à l'appelant en relation avec la peine privative de liberté qui sera prononcée, il n'en sera pas fait application.</w:t>
      </w:r>
    </w:p>
    <w:p>
      <w:r>
        <w:rPr>
          <w:b/>
        </w:rPr>
        <w:t>E. 2.3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w:t>
      </w:r>
    </w:p>
    <w:p>
      <w:r>
        <w:t>- 7/13 - P/15682/2017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2.4</w:t>
      </w:r>
    </w:p>
    <w:p>
      <w:r>
        <w:t>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127 IV 101 consid. 2b p. 104 ; ATF 93 IV 7 ; ATF 116 IV 300 consid. 2c/dd p. 305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144 IV 217 consid. 3.5).</w:t>
      </w:r>
    </w:p>
    <w:p>
      <w:r>
        <w:rPr>
          <w:b/>
        </w:rPr>
        <w:t>E. 2.5</w:t>
      </w:r>
    </w:p>
    <w:p>
      <w:r>
        <w:t>Lorsque la peine entrant en considération se situe dans un intervalle dont les bornes comprennent la limite supérieure à l'octroi du sursis (24 mois), du sursis partiel (36 mois) ou de la semi-détention (1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Dans tous les cas, le juge doit expressément motiver sa décision sur ce point (ATF 134 IV 17 consid. 3.5 s. p. 24 s.).</w:t>
      </w:r>
    </w:p>
    <w:p>
      <w:r>
        <w:t>- 8/13 - P/15682/2017</w:t>
      </w:r>
    </w:p>
    <w:p>
      <w:r>
        <w:rPr>
          <w:b/>
        </w:rPr>
        <w:t>E. 2.6</w:t>
      </w:r>
    </w:p>
    <w:p>
      <w:r>
        <w:t>En l'espèce, la faute de l'appelant est importante. Il a porté atteinte à l'intégrité sexuelle de son épouse, en usant de sa force pour vaincre sa résistance. S’il s’est vraisemblablement trouvé désemparé dans une situation conflictuelle importante, comme cela ressort de l’attestation de son thérapeute, il a aussi agi dans le but d’importuner son épouse, par sentiment de vengeance face à sa propre perte de maîtrise de la situation, après plus de 20 ans de vie commune sans difficulté notable et dans un contexte de déchéance financière et professionnelle. Il a commis deux agressions à quelques jours d'intervalle, puis, lorsqu’il s’est retrouvé contraint de quitter le domicile conjugal, il a encore proféré des menaces à l’encontre de son épouse. Ce dernier geste s’inscrit manifestement aussi dans la déroute de sa vie conjugale. Il a reconnu sa faute, même si ses propos devant les premiers juges laissaient apparaître que sa prise de conscience n’était pas complète. Il n’a pas réellement exprimé de regrets envers son épouse, cherchant plutôt à se poser en victime. Si sa souffrance face à une situation qui le dépassait est réelle, elle n’explique ni n’excuse son recours à la violence et ses gestes qui procèdent de la satisfaction d’une pulsion profondément égoïste. Ainsi, rien dans la situation personnelle de l'appelant ne justifie ses actes. Sa collaboration à l’instruction a été correcte. Il a certes admis les faits reprochés, qu’il ne conteste plus au stade de l’appel, mais a persisté à se poser en victime et à blâmer la situation et le contexte plutôt que d’admettre pleinement sa responsabilité. Sa prise de conscience demeure ainsi incomplète. Il minimise sa responsabilité en cherchant à faire porter la faute par son épouse en affirmant n’avoir « pas fait exprès ». Les premiers juges ont tenu compte du contexte particulier dans lequel les viols ont été commis, soit dans le cadre d'un conflit. Le contexte conjugal, dans lequel l’agression sexuelle est utilisée comme un moyen de dominer son conjoint et d’imposer son point de vue, ne fait pas apparaître la faute comme moindre. Par ailleurs, une grande majorité des agressions sexuelles sont le fait d’un auteur connu de la victime ; cet élément n’est donc pas non plus favorable à l’appelant. Seule une peine privative de liberté entre en ligne de compte, ce que l’appelant ne conteste pas, étant rappelé que la peine plancher de l’art. 190 CP est une peine privative de liberté d’une année. L’infraction la plus grave dans la présente cause est le premier viol. Compte tenu du contexte particulier, la peine doit être fixée à deux ans, ce qui constitue la peine de base. Pour tenir compte du second viol, cette peine doit être aggravée d’une année (peine théorique de deux ans également), portant la peine d’ensemble à trois ans, ce qui correspond à une peine supérieure à celle prononcée par les</w:t>
      </w:r>
    </w:p>
    <w:p>
      <w:r>
        <w:t>- 9/13 - P/15682/2017 premiers juges. Compte tenu de l’interdiction de la reformatio in pejus, la peine privative de liberté de 30 mois, prononcée par les premiers juges, sera confirmée. Cette peine dépasse largement la limite légale de l’octroi du sursis complet, qui n’a donc pas lieu d’être accordé.</w:t>
      </w:r>
    </w:p>
    <w:p>
      <w:r>
        <w:rPr>
          <w:b/>
        </w:rPr>
        <w:t>E. 3</w:t>
      </w:r>
    </w:p>
    <w:p>
      <w:r>
        <w:t>L'appelant, qui succombe, supportera les frais de la procédure envers l'Etat (art. 428 CPP).</w:t>
      </w:r>
    </w:p>
    <w:p>
      <w:r>
        <w:rPr>
          <w:b/>
        </w:rPr>
        <w:t>E. 4.1</w:t>
      </w:r>
    </w:p>
    <w:p>
      <w:r>
        <w:t>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4.2</w:t>
      </w:r>
    </w:p>
    <w:p>
      <w:r>
        <w:t>En l’occurrence, l’état de frais produit par le conseil de l’appelant paraît adéquat et pour l’essentiel conforme aux dispositions et principes qui précèdent. Seront toutefois déduites les heures consacrées à la lecture du jugement entrepris, cette activité étant comprise dans la majoration forfaitaire, tout comme l’est la rédaction de l’annonce et de la déclaration d’appel dont il est rappelé qu’elles n’ont pas à être motivées.</w:t>
      </w:r>
    </w:p>
    <w:p>
      <w:r>
        <w:t>En conclusion, l'indemnité sera arrêtée à CHF 2'132.45 correspondant à neuf heures d'activité au tarif de CHF 200.-/heure plus la majoration forfaitaire de 10% et l'équivalent de la TVA au taux de 7.7%. * * * * *</w:t>
      </w:r>
    </w:p>
    <w:p>
      <w:r>
        <w:t>- 10/13 - P/15682/2017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