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AARP/125/2019 vom 23. März 2018</w:t>
      </w:r>
    </w:p>
    <w:p>
      <w:r>
        <w:t>GE Cour de justice, 2018-03-23, FR</w:t>
      </w:r>
    </w:p>
    <w:p>
      <w:r>
        <w:rPr>
          <w:b/>
        </w:rPr>
        <w:t xml:space="preserve">Quelle: </w:t>
      </w:r>
      <w:r>
        <w:t>https://mcp.opencaselaw.ch/entscheid/ge_gerichte_AARP_125_2019</w:t>
      </w:r>
    </w:p>
    <w:p>
      <w:r>
        <w:t>FR: GE_GERICHTE AARP/125/2019 du 23 mars 2018</w:t>
      </w:r>
    </w:p>
    <w:p>
      <w:r>
        <w:t>IT: GE_GERICHTE AARP/125/2019 del 23 marzo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Si la juridiction d'appel jouit d'un plein pouvoir d'examen sur tous les points attaqués du jugement (art. 398 al. 2 CPP), la procédure se fonde néanmoins sur les preuves administrées pendant la procédure préliminaire et la procédure de première instance (art. 389 al. 1 CPP). L'administration des preuves n'est répétée qu'à des conditions strictes (art. 389 al. 2 CPP) : les dispositions en matière de preuves doivent avoir été enfreintes (let. a); l'administration des preuves doit avoir été incomplète (let. b) ou encore les pièces relatives à l'administration des preuves ne doivent pas sembler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(ATF 140 IV 196 consid. 4.4.2 p. 199 s. ; cf. également arrêts du Tribunal fédéral 6B_35/2017 du 26 février 2018 consid. 2.1 ; 6B_445/2016 du 5 juillet 2017 consid. 5.7.5).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6B_896/2018 du 7 février 2019 consid. 2.1 ; 6B_463/2018 du 11 janvier 2019 consid. 1.1). 2.1.2.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t>- 19/35 - P/3871/2013</w:t>
      </w:r>
    </w:p>
    <w:p>
      <w:r>
        <w:rPr>
          <w:b/>
        </w:rPr>
        <w:t>E. 2.2</w:t>
      </w:r>
    </w:p>
    <w:p>
      <w:r>
        <w:t>En l'espèce, E______ a déjà été entendu pendant la procédure préliminaire de manière contradictoire s'agissant des faits survenus en mars 2013 et n'a pas manqué de s'exprimer également par le biais de divers courriers adressés tant au Ministère public qu'au premier juge. Sa nouvelle audition, presque six ans après les faits, n'apparaît pas utile à la manifestation de la vérité, compte tenu du temps écoulé. En tout état de cause, le déroulement des faits a été suffisamment instruit, plusieurs témoins ayant été auditionnés et de très nombreuses pièces versées à la procédure par les parties, outre qu'il n'apparaît pas judicieux de procéder à une nouvelle audition, la multiplication des déclarations dans le contexte très particulier d'un litige parental impliquant des devoirs de loyauté potentiellement conflictuels, étant sujette à caution. La Cour appréciera la portée des plis adressés par E______ au Ministère public, tout comme ses déclarations intervenues durant l'audience du 1er septembre 2015. Pour ces motifs, la requête visant à auditionner une nouvelle fois E______ a été rejetée à l'audience d'appel.</w:t>
      </w:r>
    </w:p>
    <w:p>
      <w:r>
        <w:rPr>
          <w:b/>
        </w:rPr>
        <w:t>E. 3.1</w:t>
      </w:r>
    </w:p>
    <w:p>
      <w:r>
        <w:t>L'art. 130 CPP, relatif à la défense obligatoire, prévoit qu'un prévenu "doit avoir un défenseur" si l'un des cinq cas, exhaustivement énumérés sous lettres a) à e), est réalisé. Elle l'est en particulier lorsque le prévenu "encourt une peine privative de liberté de plus d'un an ou une mesure entraînant une privation de liberté" (let. b). Ce n'est pas la peine théorique maximale applicable à l'infraction reprochée au prévenu qui doit être prise en considération pour déterminer si la lettre b) de l'art. 130 CPP est ou non applicable, mais, comme dans le cadre de la défense d'office (cf. à ce sujet : art. 132 CPP ; ATF 129 I 281 consid. 3.1 p. 285 ; 120 Ia 43 consid 2b p. 45 ; arrêts du Tribunal fédéral 1B_346/2009 du 1er février 2010 consid. 3.2 ; 1P_627/2002 du 4 mars 2003 consid. 3.1, in Pra 2004 n. 1 p. 4), celle qui pourrait raisonnablement être prononcée en fonction des circonstances concrètes de la procédure (ATF 143 I 164 consid. 2.4.3 ; ACPR/331/2012 du 16 août 2012).</w:t>
      </w:r>
    </w:p>
    <w:p>
      <w:r>
        <w:rPr>
          <w:b/>
        </w:rPr>
        <w:t>E. 3.2</w:t>
      </w:r>
    </w:p>
    <w:p>
      <w:r>
        <w:t>En l'espèce, le grief formé par A______ en violation de ses droits est mal fondé, dès lors que son conseil était présent lors de sa première audition du 19 novembre 2013 devant le Ministère public, et ce, alors même qu'il ne s'agit de toute évidence pas d'un cas de défense obligatoire.</w:t>
      </w:r>
    </w:p>
    <w:p>
      <w:r>
        <w:rPr>
          <w:b/>
        </w:rPr>
        <w:t>E. 4</w:t>
      </w:r>
    </w:p>
    <w:p>
      <w:r>
        <w:t>4.1.1.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au sens large (ATF 127 I 28 consid. 2a p. 40 s. ; arrêt du Tribunal fédéral 6B_804/2017 du 23 mai 2018 consid. 2.2.3.1 destiné à la publication).</w:t>
      </w:r>
    </w:p>
    <w:p>
      <w:r>
        <w:t>- 20/35 - P/3871/2013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4.2</w:t>
      </w:r>
    </w:p>
    <w:p>
      <w:r>
        <w:t>L'art. 217 al. 1 CP punit, sur plainte, celui qui n'aura pas fourni les aliments ou les subsides qu'il doit en vertu du droit de la famille, quoi qu'il en eût les moyens ou pût les avoir.</w:t>
      </w:r>
    </w:p>
    <w:p>
      <w:r>
        <w:t>- 21/35 - P/3871/2013</w:t>
      </w:r>
    </w:p>
    <w:p>
      <w:r>
        <w:rPr>
          <w:b/>
        </w:rPr>
        <w:t>E. 4.2.1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p. 277).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Une décision de mesures provisionnelles lie les autorités pénales et suffit à fonder l'obligation d'entretien du débiteur d'aliments (cf. ATF 136 IV 122 consid. 2.3 p. 125 s.). Le juge pénal n'a pas à se demander s'il aurait lui-même fixé une somme inférieure ou supérieure. Une constatation judiciaire préalable n'est cependant pas nécessaire dans la mesure où l'obligation d'entretien découle directement de la loi (ATF 128 IV 86 consid. 2b p. 90). L'obligation d'entretien est également violée si le débiteur fournit sa prestation avec retard. La forme de la prestation doit également être respectée en ce sens que le débiteur n'est pas valablement libéré en payant directement les dettes du créancier (soit en l'espèce, loyer, avec diminution de la pension d'autant), le conjoint devant rester libre d'affecter sa pension au paiement d'une dette ou de s'en acquitter par d'autres moyens, par exemple en travaillant pour son créancier, de manière à économiser sur la pension de quoi subvenir à d'autres besoins (ATF 106 IV 36 = JdT 1981 IV 46). Le créancier doit pouvoir bénéficier de l'entière disposition de la contribution d'entretien, de sorte qu'il n'est pas suffisant de verser la somme sur le compte bancaire ouvert au profit de l'enfant, dont le parent gardien ne peut pas disposer (SJ 1995, p. 519ss ; M. DUPUIS / L. MOREILLON / C. PIGUET / S. BERGER / M. MAZOU / V. RODIGARI (éds), Code pénal - Petit commentaire, 2e éd., Bâle 2017, n. 14 et 15 ad art. 217 et les références citées).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w:t>
      </w:r>
    </w:p>
    <w:p>
      <w:r>
        <w:t>- 22/35 - P/3871/2013 l'obligation a été fixée dans un jugement ou une convention car elle sera alors connue du débiteur (ATF 128 IV 86 consid. 2b p. 90). 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w:t>
      </w:r>
    </w:p>
    <w:p>
      <w:r>
        <w:rPr>
          <w:b/>
        </w:rPr>
        <w:t>E. 4.2.2</w:t>
      </w:r>
    </w:p>
    <w:p>
      <w:r>
        <w:t>Les créances dont la nature spéciale exige le paiement effectif entre les mains du créancier, telles que des aliments, ne peuvent être éteintes par compensation contre la volonté du créancier (art. 125 ch. 2 de la loi fédérale du 30 mars 1911, complétant le Code civil suisse [CO, Code des obligations - RS 220]).</w:t>
      </w:r>
    </w:p>
    <w:p>
      <w:r>
        <w:rPr>
          <w:b/>
        </w:rPr>
        <w:t>E. 4.2.3</w:t>
      </w:r>
    </w:p>
    <w:p>
      <w:r>
        <w:t>A teneur de l'art. 17 CP, quiconque commet un acte punissable pour préserver d'un danger imminent et impossible à détourner autrement un bien juridique lui appartenant ou appartenant à autrui agit de manière licite s'il sauvegarde ainsi des intérêts prépondérants. Selon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(arrêt du Tribunal fédéral 6B_720/2007 du 29 mars 2008 consid. 5.1.1). Que l'état de nécessité soit licite ou excusable, l'auteur doit commettre l'acte punissable pour se préserver d'un danger imminent et impossible à détourner autre- ment. Le danger est imminent lorsqu'il est actuel et concret (ATF 122 IV 1 consid. 3a p. 5 ; arrêt du Tribunal fédéral 6B_603/2015 du 30 septembre 2015 consid. 4.2 et les références citées). L'impossibilité que le danger puisse être détourné autrement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2c p. 55 s.; arrêts du Tribunal fédéral 6B_1056/2013 du 20 août 2014 consid. 5.1 et 6B_622/2008 du 13 janvier 2009 consid. 3.1). En cas d'état de nécessité excusable (art. 18 CP), il convient de déterminer si le sacrifice du bien menacé pouvait ou non être raisonnablement exigé de l'auteur. La</w:t>
      </w:r>
    </w:p>
    <w:p>
      <w:r>
        <w:t>- 23/35 - P/3871/2013 pesée objective des intérêts apparaît ainsi secondaire, si bien que la violation d'un intérêt supérieur n'exclut a priori pas l'état de nécessité excusable, à tout le moins en cas d'état de nécessité défensif. L'ordre hiérarchique des biens juridiques est, en tous les cas, malaisé à établir. La pesée des intérêts à opérer prendra en considération non seulement le rang des biens juridiques en conflit, mais également la gravité de l'atteinte, l'importance du danger, ainsi que toutes les circonstances du cas concret (arrêt du Tribunal fédéral 6B_216/2014 du 5 juin 2014 consid. 2.1). Si le sacrifice du bien menacé peut être exigé de l'auteur, celui-ci agit de manière coupable ; une peine devra donc être prononcée, laquelle sera toutefois atténuée (art. 48a CP). Dans le cas contraire, l'auteur n'aura pas agi de manière coupable ; il devra donc être exempté de toute peine et, ainsi, être libéré de la poursuite pénale (ATF 122 IV 1 consid. 2b p. 4 ; arrêt du Tribunal fédéral 6B_216/2014 précité). 4.3.1. En vertu de l'art. 30 al. 2 et 3 CP, toute personne mineure et lésée par une infraction bénéficie d'un droit de plainte indépendant, à la seule condition toutefois d'être capable de discernement. Le représentant légal bénéficie lui aussi d'un droit indépendant à déposer plainte, sans égard à la volonté du représenté (M. DUPUIS / L. MOREILLON / C. PIGUET / S. BERGER / M. MAZOU / V. RODIGARI (éds), op. cit., n. 15 et 15 ad art. 30 et les références citées). L'art. 33 al. 1 CP prévoit la possibilité d'un retrait de la plainte jusqu'au prononcé du jugement de la deuxième instance cantonale. La communication (orale ou écrite) du dispositif du jugement est déterminante (ATF 117 IV a consid. 2a = JdT IV 66 ; M. DUPUIS / L. MOREILLON / C. PIGUET / S. BERGER / M. MAZOU / V. RODIGARI (éds), op. cit., n. 1 ad art. 33 et les références citées). Le droit de retirer la plainte n'appartient qu'à celui qui a exercé le droit de déposer plainte. Selon la majorité de la doctrine, approuvée par le Tribunal fédéral, il en résulte que lorsqu'une plainte a été portée à la fois par plusieurs ayants droit bénéficiant d'une compétence indépendante à cet égard, le retrait émanant de l'un d'eux demeure sans effet sur la plainte déposée par les autres. Ainsi, par exemple, le mineur ou l'interdit qui a entre-temps acquis l'exercice des droits civils ne peut retirer la plainte formée auparavant par son représentant légal (ATF 127 IV 193 consid. 5c.aa et bb p. 197 et les références citées). 4.3.2. L'art. 180 al. 1 CP réprime, sur plainte,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w:t>
      </w:r>
    </w:p>
    <w:p>
      <w:r>
        <w:t>- 24/35 - P/3871/2013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4.3.3. L'interdiction de la double poursuite, qui est un corollaire de l'autorité de chose jugée, interdit qu'une personne soit pénalement poursuivie deux fois pour les mêmes faits (ATF 137 I 363 consid. 2.1 p. 365 ; arrêts du Tribunal fédéral 6B_1053/2017 du 17 mai 2018 consid. 4.1 ; 6B_353/2016 du 30 mars 2017 consid. 2.1).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(ATF 142 IV 276 consid. 1). Outre l'identité des faits, l'autorité de chose jugée et le principe ne bis in idem supposent également qu'il y ait identité de l'objet de la procédure et de la personne visée (ATF 125 II 402 consid. 1b p. 404 ; ATF 120 IV</w:t>
      </w:r>
    </w:p>
    <w:p>
      <w:r>
        <w:rPr>
          <w:b/>
        </w:rPr>
        <w:t>E. 5</w:t>
      </w:r>
    </w:p>
    <w:p>
      <w:r>
        <w:t>juillet 2017 consid. 5.1). 4.1.3.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rétractations,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rPr>
          <w:b/>
        </w:rPr>
        <w:t>E. 5.2</w:t>
      </w:r>
    </w:p>
    <w:p>
      <w:r>
        <w:t>En l'espèce, la faute de l'appelant est significative, celui-ci ne s'étant pas acquitté, durant une période pénale particulièrement longue et alors qu'il en avait les moyens, de l'obligation d'entretien qu'il avait envers son épouse et son fils. S'il est vrai qu'il a mis à disposition de cette dernière une partie de la contribution, comme l'a relevé le Tribunal de police, force est de constater que le prévenu a fait preuve d'obstination et a persévéré dans ses agissements pour imposer sa volonté à son épouse, allant même apparemment jusqu'à s'abstenir de tout versement depuis récemment. Il a fait ainsi preuve d'égoïsme, en privant l'intimée de ressources auxquelles elle pouvait légitimement prétendre et en choisissant à sa place les charges auxquelles affecter ladite contribution, alors même qu'elles n'étaient pas imputables à celle-ci. Par ailleurs, il n'a pas hésité à s'en prendre verbalement à son jeune fils, ses motivations relevant d'un comportement colérique mal maîtrisé. A______ n'a pas pris la mesure de ses actes, puisqu'il a persisté à nier les faits tout au long de la procédure. Sa prise de conscience est donc inexistante sur ce volet également. Sa situation personnelle ne permet aucunement d'expliquer ses agissements La collaboration de l'appelant à la procédure a été médiocre, notamment dès lors qu'il s'est montré particulièrement vague s'agissant de sa situation financière, tout en travestissant les faits.</w:t>
      </w:r>
    </w:p>
    <w:p>
      <w:r>
        <w:t>- 30/35 - P/3871/2013 Il n'a pas d'antécédents, ce qui n'a pas d'influence sur la peine (ATF 141 IV 61 consid. 6.3.2 p. 70). Aucune des circonstances prévues à l'art. 48 CP n'est réalisée, en particulier le temps écoulé depuis les menaces proférées (let. e), dès lors que l'on ne peut valablement considérer que l'appelant s'est bien comporté dans l'intervalle. Il y a concours d'infractions, ce qui justifie le prononcé d'une peine aggravée. Dans la mesure où la peine pécuniaire de 90 jours-amende apparaît adéquate et conforme aux critères de l'art. 47 CP, elle sera confirmée. Il en ira de même de la quotité du jour-amende, fixée à CHF 600.- qui paraît adaptée à la situation financière actuelle de l'appelant. Le sursis est acquis à l'appelant (art. 391 al. 2 CPP et art. 42 aCP) et le délai d'épreuve fixé à trois ans est adéquat, compte tenu de son absence de prise de conscience. De même, l'amende de CHF 10'000.- doit être également confirmée dans la mesure où, bien que représentant le maximum légal, elle demeure proportionnée au regard de la peine principale et adaptée à la situation financière aisée de l'appelant. 6. L'appelant, qui succombe intégralement, supportera les frais de la procédure d'appel, lesquels comprennent un émolument de jugement de CHF 3'000.- (art. 428 CPP et art. 14 du règlement fixant le tarif des frais en matière pénale du 22 décembre 2010 [RTFMP - E 4 10.03]). 7. Compte tenu des développements qui précèdent, A______ sera débouté de ses conclusions en indemnisation (art. 429 al. 1 let. a CPP a contrario). 8. 8.1. 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p. 287 et les références citées). L'existence d'une reformatio in pejus doit être examinée à l'aune du dispositif (ATF 142 IV 129 consid. 4.5 p. 136 ; ATF 141 IV 132 consid. 2.7.3 p. 140 ; arrêt du Tribunal fédéral 6B_69/2016 du 29 septembre 2016 consid. 2.2.1). 8.2.1.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w:t>
      </w:r>
    </w:p>
    <w:p>
      <w:r>
        <w:t>- 31/35 - P/3871/2013 matière sur la demande. S'agissant des prétentions en indemnités dans la procédure d'appel, l'art. 433 al. 1 CPP est également applicable par renvoi de l'art. 436 al. 1 CPP. 8.2.2.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Sa prétention en indemnisation n'entre pas dans les prétentions civiles au sens des art. 122 ss CPP et est spécialement réglée par l'art. 433 CPP (arrêt du Tribunal fédéral 6B_47/2017 du</w:t>
      </w:r>
    </w:p>
    <w:p>
      <w:r>
        <w:rPr>
          <w:b/>
        </w:rPr>
        <w:t>E. 10</w:t>
      </w:r>
    </w:p>
    <w:p>
      <w:r>
        <w:t>consid. 2b p. 12 s. ; arrêts du Tribunal fédéral 6B_1053/2017 du 17 mai 2018 consid. 4.1 ; 6B_1269/2016 du 21 août 2017 consid. 3.3). 4.4.1. En l'espèce, l'appelant ne conteste pas que, durant la période pénale, il avait l'obligation de verser à C______ la somme de CHF 35'000.- (par mois et d'avance) pour son entretien et celui de leur fils, E______, puis, dès le ______ 2014, CHF 30'000.-, selon l'arrêt de la Cour de justice du 11 avril 2014, confirmé par le Tribunal fédéral, le 1er décembre 2014. Or, à teneur de ses pièces, l'appelant admet ne jamais lui avoir intégralement payé les montants précités, hormis en mai 2014 et 2016, pour lesquels il reconnaît avoir procédé avec retard, se contentant de lui verser "en espèces" en moyenne la somme mensuelle de CHF 9'000.- sur son compte K______, ce qui suffit à fonder la violation de l'obligation d'entretien, compte tenu de la jurisprudence claire à ce propos (cf. ATF 106 IV 36 = JdT 1981 IV 46). S'agissant des sommes créditées durant la période pénale sur le compte de L______ aux Etats-Unis, l'on ne saurait considérer que l'intimée en a disposé, l'appelant ayant indiqué qu'elles servaient à payer les charges de leurs copropriétés américaines, lesquelles n'étaient pas incluses dans le calcul de la contribution d'entretien. Cela étant, même s'il fallait en tenir compte, la somme des prestations fournies sur les comptes suisse et américain reste inférieure à celle due. Il a en outre pris en compte des frais relatifs à la propriété de P______ pour réduire le montant dû à son épouse. Il reste donc à examiner si l'appelant avait les moyens de remplir son obligation. A ce sujet, la Cour de céans ne peut que parvenir à la conclusion que tel est le cas, ne serait-ce déjà qu'au regard des propres allégations de l'appelant relatives aux</w:t>
      </w:r>
    </w:p>
    <w:p>
      <w:r>
        <w:t>- 25/35 - P/3871/2013 montants totaux dont il dit s'être acquitté, que ce soit en payant directement certaines dettes de divers créanciers ou en versant de l'argent directement à son épouse et dont les montants couvraient très largement la totalité de la pension qu'il devait verser. Dans tous les cas, il est incontestable que l'appelant, qui a mené un train de vie très élevé pendant de nombreuses années et qui possède plusieurs copropriétés de grandes valeurs, avait les moyens de fournir les prestations litigieuses en mains de la partie plaignante, bien qu'il refuse de s'étendre sur sa situation financière. Même s'il allègue aujourd'hui ne plus vraiment pouvoir faire face à ses obligations, ce qui paraît douteux, compte tenu de ce qui précède, et, par conséquent, ne plus rien verser à l'intimée depuis la fin de l'année 2018, cela ne concerne pas la période pénale, objet de la présente décision. On relèvera enfin que, à supposer que ses difficultés financières soient réelles, il est difficile de comprendre qu'il ne prenne même pas la peine de chercher à mettre ses propriétés inhabitées en location, la dette d'aliments primant, en effet, toute autre dette. Dès lors, il n'est pas déterminant que l'appelant ait déposé, le 11 septembre 2018, une requête en modification des mesures provisionnelles, ce d'autant plus qu'en principe, la modification prend effet au moment du dépôt de la demande (SJ 2012 I 148 consid. 5.1 p. 148). L'appelant argue que la passivité de son épouse, laquelle ne prenait pas la peine de régler les différentes factures mises à sa charge, l'exposait à un risque de poursuites, et surtout qu'elle mettait désormais en danger leur patrimoine immobilier, à savoir le domicile conjugal, si bien qu'il avait été contraint de payer lui-même ses dettes, qu'il avait ensuite compensées avec la contribution d'entretien due. Or, même s'il fallait admettre son raisonnement, non seulement l'appelant aura alors imputé à son épouse des charges non prévues par l'arrêt de la Cour de justice, telles que l'intégralité de celles relatives à leurs propriétés en Valais et aux USA, dont il est pourtant copropriétaire, mais encore, agi contre la volonté de cette dernière, ce qui est exclu, compte tenu également de l'art. 125 ch. 2 CO, prohibant l'extinction par compensation d'une créance d'aliments. De surcroît, s'agissant des frais en lien avec la propriété genevoise attribuée à son épouse, il a retenu un montant supérieur aux CHF 4'400.- fixés par l'autorité civile et a tout bonnement empêché l'intimée de résilier certains contrats d'entretien, en vue d'amoindrir ses charges, ce qui ne saurait être admissible. C'est en vain que l'appelant tente de se prévaloir de l'état de nécessité, dont les conditions légales ne sont pas réunies. En effet, les photographies produites par l'appelant, dont on ne sait au demeurant pas à quel moment elles ont été prises, ne sauraient fonder un quelconque danger imminent ou impossible à détourner autrement. On y perçoit tout au plus un mauvais entretien du jardin, dont l'appelant</w:t>
      </w:r>
    </w:p>
    <w:p>
      <w:r>
        <w:t>- 26/35 - P/3871/2013 est bien mal aisé de se plaindre, dès lors qu'il en est à l'origine, l'intimée n'ayant désormais plus les moyens d'assumer les frais du jardinier. Par ailleurs, la seule démarche entreprise par l'appelant aux fins de tenter de régulariser la situation fut de mettre à disposition de la partie plaignante l'entier de sa contribution d'entretien du mois de mai 2014 et de lui laisser à peine deux semaines pour assumer elle-même ses frais, avant de revenir sur sa position. La condition de la subsidiarité n'étant donc pas réalisée, il n'y a pas lieu de procéder à une pesée des intérêts en jeux. En agissant de la sorte, l'appelant entend, en réalité, appliquer sa propre vision de la justice, tout en maintenant un certain contrôle financier sur son épouse et il ne saurait être suivi par la Cour de céans, laquelle reste, dans tous les cas, liée par les décisions rendues en matières civiles, fussent-elles provisoires. Connaissant l'étendue de son obligation, c'est à dessein que l'appelant n'a pas versé les contributions d'entretien à l'intimée durant la période pénale concernée. 4.4.2. Partant, le jugement de première instance sera confirmé sur ce point et l'appel rejeté. 4.5.1. S'agissant des menaces proférées contre E______, il convient, à titre liminaire, d'examiner si la plainte pénale déposée le 2 avril 2013 par C______, en qualité de représentante de E______, a fait l'objet d'un retrait. Aucune des parties, que ce soit C______ ou son fils, n'a jamais déclaré, jusqu'au prononcé du présent jugement, vouloir retirer la plainte pour les faits survenus en mars 2013. E______ a, tout au plus, indiqué au Ministère public qu'il renonçait à "participer à la procédure pénale comme partie plaignante", ce qui ne saurait être interprété comme un retrait, alors même qu'au cours de la même audience, il a confirmé avoir retiré sa plainte s'agissant de la violation de l'obligation d'entretien. Dès lors, la plainte est, sans autre, valable. 4.5.2. En l'espèce, l'appelant conteste s'être entretenu par téléphone, le 21 mars 2013, avec l'assistant social du SPMi, entretien qui serait, selon les déclarations de E______, à l'origine des menaces litigieuses proférées téléphoniquement le même jour. Or, à teneur du dossier, il ne fait aucun doute pour la CPAR que la conversation téléphonique entre l'appelant et I______ au sujet des conclusions de son rapport est bel et bien intervenue ce jour-là et non pas ultérieurement. Cela est corroboré tant par les déclarations de I______, que par le contenu de son rapport et de son courriel du 21 mars, et avant tout, par son courriel du 22 mars, dans lequel il informait E______ que son père avait été particulièrement contrarié par ses conclusions, aux termes desquelles l'assistant social avait jugé conforme à l'intérêt de l'enfant d'attribuer sa garde à sa mère.</w:t>
      </w:r>
    </w:p>
    <w:p>
      <w:r>
        <w:t>- 27/35 - P/3871/2013 Partant de ce constat, les dénégations de l'appelant, en ce qu'il aurait tenté de joindre, sans succès, son fils pour lui faire part de son mécontentement s'agissant strictement de son échec scolaire, ne sauraient emporter conviction. Au contraire, il y a tout lieu de considérer que l'appelant, confronté à l'audition de son fils devant le SPMi, a immédiatement appelé E______, afin de manifester sa désapprobation. Le comportement subséquent de E______, relaté par sa professeure de ______ à C______, ainsi que son propre courriel envoyé à I______ le même jour, ne peuvent que confirmer que l'appelant est bien parvenu à atteindre son fils. C'est d'ailleurs ce qui ressort de l'audition ultérieure de ce dernier devant le Ministère public. A cet égard, les déclarations de F______ et de U______ ne permettent pas de parvenir à une autre conclusion, dans la mesure où rien ne permet d'écarter que A______ a parlé à son fils le 21 mars 2013, tel que décrit par ce dernier, une autre conversation ayant pu intervenir avec sa sœur. Au surplus, compte tenu des conclusions du rapport du SPMi, la Cour ne saisit pas quel bénéfice C______ aurait tiré à instrumentaliser son fils afin de lui faire rédiger le courriel litigieux, comme allégué par l'appelant. S'agissant des propos tenus par l'appelant, E______ les a rapidement révélés à I______ et les lui a répétés lors de leur entrevue du 26 mars 2013, de manière précise et circonstanciée. Il a par ailleurs confirmé au Ministère public, plus de deux ans après les faits, que ses confessions étaient conformes à la vérité. Elles sont, de surcroît, crédibles, au vu de l'épisode survenu en O______, lors duquel l'appelant semble avoir été particulièrement en colère face à son fils au point de briser sa console de jeux. Après avoir été entendu par le Ministère public, E______ s'est certes rétracté dans plusieurs courriers adressés au Ministère public et au premier juge. On ne comprend toutefois pas pour quelle raison il aurait souhaité modifier les propos recueillis par I______, si ce n'est par crainte de son père, étant précisé qu'il les a finalement maintenus. On relèvera également que lors de chacune de ses auditions, tant devant l'assistant social, que devant le procureur, E______ a présenté la même version, à savoir que son père, fâché par ses déclarations, l'avait menacé, ce qui ressort également de son audition par l'autorité américaine. Ses dénégations ne sont, par conséquent, pas crédibles et ne viennent, au contraire, que renforcer la conviction de l'autorité d'appel que E______ se trouve, bien malgré lui, dans un conflit de loyauté entre ses deux parents, qu'il tente de contenter, en gardant également en tête ses propres intérêts, notamment académiques et financiers, ce qui ne saurait lui être reproché. Partant, la Cour tient pour établi que l'appelant a menacé son fils de le déshériter ainsi que de ne plus maintenir de contact avec lui et de le faire publier dans la presse, propos qui présentent une gravité suffisante pour alarmer ou effrayer leur</w:t>
      </w:r>
    </w:p>
    <w:p>
      <w:r>
        <w:t>- 28/35 - P/3871/2013 destinataire. Il a manifesté sa volonté au cours d'une dispute relative à leur situation familiale, particulièrement litigieuse, si bien que E______ pouvait légitiment craindre que son père ne mette ses menaces à exécution, d'autant plus que, par la suite, A______ a effectivement diminué le soutien financier qu'il apportait à son fils, ce qui lui a valu de ne pas pouvoir poursuivre ses études pendant plus d'une année. Par ailleurs, le lien de filiation ainsi que leur différence d'âge étaient de nature à accentuer la crainte ressentie par E______. Ces propos menaçants ont d'ailleurs à l'évidence effrayé E______, selon les constations de I______ et de R______, mais surtout au vu des différents courriers de rétractations que E______ a fait parvenir aux autorités pénales. L'appelant savait qu'en agissant comme il l'a fait, il pouvait effrayer sa victime. 4.5.3. Le principe ne bis in idem ne saurait de surcroît être violé par le refus d'octroi d'une ordonnance restrictive pour violence domestique par les autorités américaines à l'encontre de l'appelant, procédure qui ne saurait se confondre avec une infraction à l'art. 180 CP. En effet, non seulement il n'y pas identité quant à l'objet du litige, mais encore moins s'agissant des faits, dans la mesure où la présente procédure pénale se limite à ceux survenus en mars à Genève, alors que la procédure américaine a tenté d'établir ce qui s'était passé en O______ entre l'appelant et son fils. 4.5.4. Par conséquent, le jugement dont est appel sera confirmé en ce qu'il reconnaît l'appelant coupable de menaces au sens de l'art. 180 al. 1 CP. 5. 5.1.1. 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 5.1.2. Selon l'art. 48 let. e CP, le juge atténue la peine si l'intérêt à punir a sensiblement diminué en raison du temps écoulé depuis l'infraction et que l'auteur s'est bien comporté dans l'intervalle. 5.1.3. Si, en raison de plusieurs actes, l'auteur remplit les conditions de plusieurs peines de même genre, le juge le condamne à la peine de l'infraction la plus grave et l'augmente dans une juste proportion (art. 49 al. 1 CP).</w:t>
      </w:r>
    </w:p>
    <w:p>
      <w:r>
        <w:t>- 29/35 - P/3871/2013 5.1.4. Selon l'art. 34 al. 1 aCP, applicable à l'appelante dans la mesure où il lui est plus favorable que le nouveau droit des sanctions entré en vigueur le 1er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5.1.5. Conformément à l'art. 42 al. 4 aCP, le juge peut prononcer, en plus du sursis (art. 42 al. 1 aCP), une peine pécuniaire sans sursis ou une amende selon l'art. 106 CP, le montant maximum de cette dernière étant fixé à CHF 10'000.- (art. 106 al. 1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 arrêt du Tribunal fédéral 6B_220/2015 du 10 février 2016 consid. 4.1).</w:t>
      </w:r>
    </w:p>
    <w:p>
      <w:r>
        <w:rPr>
          <w:b/>
        </w:rPr>
        <w:t>E. 13</w:t>
      </w:r>
    </w:p>
    <w:p>
      <w:r>
        <w:t>décembre 2017 consid. 2.2.4 destiné à la publication).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8.2.3.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Il résulte ainsi du système légal que l'indemnité ne peut pas être requise en tout temps dans le cadre d'une procédure indépendante, selon les art. 363 ss CPP. Elle doit être tranchée avant le jugement. La seule réserve invoquée en doctrine (cf. supra) est que le juge doit avoir rendu la partie plaignante attentive à son droit à l'indemnisation (arrêt du Tribunal fédéral 6B_965/2013 du 3 décembre 2013 consid. 3.1 et 3.3 = SJ 2014 I 228). Le refus d'entrer en matière sur les prétentions en indemnité sans auparavant interpeller les parties plaignantes sur ce point, constitue une violation de l'art. 433 al. 2 CPP et un déni de justice, dans la mesure où le juge aurait pu statuer d'office (arrêt du Tribunal fédéral 6B_1000/2015 du 28 septembre 2016 consid. 4). Dans un arrêt récent, contrairement à ce qui avait été décidé dans un arrêt 6B_1000/2015 du</w:t>
      </w:r>
    </w:p>
    <w:p>
      <w:r>
        <w:t>- 32/35 - P/3871/2013 28 septembre 2016 consid. 4, le Tribunal fédéral a retenu qu'une partie plaignante représentée par un avocat, laquelle demandait dans son mémoire de recours une indemnité, ne pouvait attendre de l'autorité pénale qu'elle l'invite à la chiffrer et à la justifier, dans la mesure où son conseil ne pouvait ignorer la règle de 433 al. 2 CPP (arrêt 6B_1345/2016 du 30 novembre 2017 consid. 7.2). 8.2.4. En outre, lorsque la cause fait l'objet d'une procédure de première instance (art. 328 ss CPP), il résulte du régime légal (cf. supra)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8.2.5.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8.3.1. En l'espèce, l'intimée, qui n'a pas formé appel ni appel joint, a déposé pour la première fois des prétentions en indemnisation au sens de l'art. 433 CPP, pour l'intégralité de la procédure en vue de l'audience d'appel, soit après la clôture des débats de première instance. La question de l'éventuelle péremption de son droit se pose donc, s'agissant de ses frais de défense de première instance. Si la partie plaignante n'a en l'occurrence pas, à tort, été formellement interpellée par le juge de première instance, lors de l'audience, sur son droit à déposer de telles prétentions, le mandat de comparution qui lui a été adressé chez son avocat, à l'adresse duquel elle avait fait élection de domicile, mentionnait la teneur de l'art. 433 CPP, ce qui n'était par contre pas le cas de l'avis d'audience destiné à ce dernier. La question de savoir si cette seule mention de l'art. 433 CPP dans le mandat susmentionné est suffisante ou non à teneur de la jurisprudence rappelée ci-dessus peut toutefois rester ouverte, au vu de ce qui suit.</w:t>
      </w:r>
    </w:p>
    <w:p>
      <w:r>
        <w:t>- 33/35 - P/3871/2013 Il apparaît en effet que, dans la mesure où seul le prévenu a formé appel, sa situation ne peut être péjorée, en application du principe de l'interdiction de la reformatio in pejus ; ce qui serait le cas s'il devait être, au stade de l'appel uniquement, condamné à payer un montant supplémentaire au titre d'indemnité à la partie plaignante pour ses frais de défense en première instance (modification du dispositif). Au vu de ce qui précède, l'intimée est forclose à demander une indemnisation pour lesdits frais, de sorte que sa conclusion en ce sens sera rejetée. 8.3.2. La partie plaignante ayant obtenu gain de cause en appel, vu la confirmation du verdict de culpabilité, le principe de l'indemnisation de ses frais d'avocat, à ce stade de la procédure, lui est acquis. Elle a toutefois produit les notes de frais et d'honoraires de son précédent conseil pour un total de CHF 66'829.-, alors que ces notes concernent une activité antérieure à la procédure d'appel. Elles seront donc écartées, compte tenu de ce qui précède. Il en ira de même et pour le motif identique des honoraires de Me D______ pour la période du 1er décembre 2017 au 23 mars 2017, représentant un total de 14h15 sur les 27h10 facturées. Par ailleurs, le tarif horaire appliqué se monte à CHF 500.-. Par conséquent, l'appelant sera condamné à verser à la partie plaignante la somme de CHF 6'745.- (TVA comprise) au titre de ses frais de défense en appel, correspondant à 12h55 d'activité, à laquelle il convient d'ajouter 1h00 pour la durée de l'audience d'appel, au taux horaire de CHF 450.- (CHF 6'263.-), plus TVA à 7.7% (CHF 482.-). * * * * *</w:t>
      </w:r>
    </w:p>
    <w:p>
      <w:r>
        <w:t>- 34/35 - P/3871/2013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