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AARP/125/2015 vom 23. Februar 2015</w:t>
      </w:r>
    </w:p>
    <w:p>
      <w:r>
        <w:t>GE Cour de justice, 2015-02-23, FR</w:t>
      </w:r>
    </w:p>
    <w:p>
      <w:r>
        <w:rPr>
          <w:b/>
        </w:rPr>
        <w:t xml:space="preserve">Quelle: </w:t>
      </w:r>
      <w:r>
        <w:t>https://mcp.opencaselaw.ch/entscheid/ge_gerichte_AARP_125_2015</w:t>
      </w:r>
    </w:p>
    <w:p>
      <w:r>
        <w:t>FR: GE_GERICHTE AARP/125/2015 du 23 février 2015</w:t>
      </w:r>
    </w:p>
    <w:p>
      <w:r>
        <w:t>IT: GE_GERICHTE AARP/125/2015 del 23 febbraio 2015</w:t>
      </w:r>
    </w:p>
    <w:p>
      <w:pPr>
        <w:pStyle w:val="Heading2"/>
      </w:pPr>
      <w:r>
        <w:t>Erwägungen</w:t>
      </w:r>
    </w:p>
    <w:p>
      <w:r>
        <w:rPr>
          <w:b/>
        </w:rPr>
        <w:t>E. 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Il s'ensuit que si l'appel est recevable pour avoir été interjeté et motivé selon la forme et dans les délais prescrits (art. 398 et 399 CPP) s'agissant de la contestation relative à la peine (type et quotité) et au refus du sursis, tel n'est pas le cas de la contestation relative au refus de l'indemnité pour détention injustifiée, prise pour la première fois à l'occasion des débats et non dans la déclaration d'appel.</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- 7/16 - P/965/2013</w:t>
      </w:r>
    </w:p>
    <w:p>
      <w:r>
        <w:rPr>
          <w:b/>
        </w:rPr>
        <w:t>E. 2.2</w:t>
      </w:r>
    </w:p>
    <w:p>
      <w:r>
        <w:t>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w:t>
      </w:r>
    </w:p>
    <w:p>
      <w:r>
        <w:rPr>
          <w:b/>
        </w:rPr>
        <w:t>E. 2.3</w:t>
      </w:r>
    </w:p>
    <w:p>
      <w:r>
        <w:t>; R. SCHNEIDER / R. GARRÉ, Basler Kommentar, Strafrecht I, 2e éd., 2007, n. 59 ad art. 42). Pour autant, on ne saurait en déduire qu'ils ne suffisent jamais à fonder un pronostic défavorable. Comme sous l'ancien droit (cf. ATF 98 IV 313 consid. 3), ils ne permettent certes pas à eux seuls de refuser le sursis si les peines prononcées dans les cinq ans qui précèdent l'infraction n'équivalent pas au moins à trois mois de</w:t>
      </w:r>
    </w:p>
    <w:p>
      <w:r>
        <w:t>- 9/16 - P/965/2013 privation de liberté au total (R. SCHNEIDER / R. GARRÉ, op. cit.,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La nature de l'infraction ne fournit aucune indication sur les perspectives d'amendement du condamné (arrêt du Tribunal fédéral 6B_435/2007 du 12 février 2008, consid. 3.6.1). La jurisprudence l'a relevé à de nombreuses reprises, notamment en relation avec la conduite en état d'ébriété (ATF 101 IV 257 consid. 1, 98 IV 159, consid. 2) ou les infractions à la loi fédérale sur les stupéfiants (ATF 101 IV 122 consid.).</w:t>
      </w:r>
    </w:p>
    <w:p>
      <w:r>
        <w:rPr>
          <w:b/>
        </w:rPr>
        <w:t>E. 2.4</w:t>
      </w:r>
    </w:p>
    <w:p>
      <w:r>
        <w:t>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consid. 5.5.2. p. 15 ; SJ 2008 I p. 277 consid. 2.2.3.2. p. 281 ; arrêt du Tribunal fédéral 6B_1044/2013 du 4 mars 2014 consid. 3.1). Le rapport entre la partie ferme et avec sursis de la peine doit être fixé de telle manière que, d'une part, la probabilité d'un comportement futur de l'auteur conforme à la loi mais aussi sa culpabilité soient équitablement prises en compte. Le juge</w:t>
      </w:r>
    </w:p>
    <w:p>
      <w:r>
        <w:t>- 10/16 - P/965/2013 dispose à ce propos d'un large pouvoir d'appréciation (cf. ATF 134 IV 1 consid. 5.6 p. 15). 2.5.1. L'appelant a commis a réitéré reprises des infractions de gravité variable, au regard du bien juridique protégé et de la peine-menace dont elles sont assorties (une peine privative de liberté de trois ans au plus ou une peine pécuniaire pour les art. 90 al. 2 LCR, 91 al. 2 LCR, 95 al.1 let. b LCR ainsi que 33. al. 1 let. a LArm, une peine privative de liberté d'un an au plus ou une peine pécuniaire en ce qui concerne l'art. 115 LEtr, enfin l'amende – non contestée in casu pour les art. 93 al. 2 let.b LCR et 99 al. 3 LCR). Certes, la violation de la LEtr paraît accessoire en l'occurrence. En revanche la répétition de comportements dangereux, non seulement pour l'appelant lui-même mais aussi pour les tiers, que constituent la conduite en état d'ébriété ou la possession illégale d'armes est très préoccupante, dénote un mépris des normes en vigueur et de la sécurité publique et emporte que la faute doit être qualifiée de moyenne. Contrairement à ce que soutient l'appelant, le fait que la période pénale soit relativement courte (6 mois) n'est pas un élément à décharge dans la mesure où il n'a tenu aucun compte des avertissements qu'auraient dû constituer le contrôle du 20 janvier 2013 et l'accident du 9 février suivant, réitérant à très bref délais son comportement. A cela s'ajoutent encore les antécédents, tous deux spécifiques, étant rappelé que la première récidive en matière de violation de la LArm est intervenue à peine deux mois après la précédente condamnation du 9 décembre 2012. Les faits sont certes reconnus, mais vu les éléments du dossier, il ne pouvait en aller autrement. La prise de conscience paraît inexistante ; l'appelant n'a d'ailleurs pas tenté de convaincre du contraire en se présentant personnellement devant le juge du fond afin d'attester d'un changement d'état d'esprit. Il faut déduire de ces circonstances que l'appelant est habité par un sentiment de toute puissance qui le rend peu ou guère sensible à une sanction peu incisive, telle une peine pécuniaire, déjà infligée à deux reprises sans succès. C'est ainsi à juste titre que le premier juge a estimé que seule une peine privative de liberté pouvait entrer en considération et qu'il en a fixé la quotité à une année, eu égard à l'aggravation découlant tant du concours d'infractions (art. 49 al. 1 CP) que de la récidive. L'appel doit donc être rejeté dans la mesure où il porte sur le type et la quotité de la peine. 2.5.2. Contrairement à ce que soutient l'appelant, le premier juge a fait application de l'art. 42 al. 1 CP (et non de l'al. 2 de cette disposition) comme cela ressort expressément du consid. 2.3.2 du jugement entrepris. Pour autant, s'il est vrai que le pronostic est loin d'être favorable, il faut tenir compte du fait que l'intéressé ne s'était</w:t>
      </w:r>
    </w:p>
    <w:p>
      <w:r>
        <w:t>- 11/16 - P/965/2013 pas précédemment vu infliger de peine privative de liberté et qu'il a fait pour la première fois l'expérience de la prison, ayant été détenu à titre préventif durant 57 jours. Dans ces circonstances, on ne peut exclure que la crainte de devoir purger un solde de peine relativement important, alors qu'il sait désormais concrètement ce que signifie la détention, suffira à dissuader l'appelant de commettre d'autres infractions. Vu ces circonstances, le cas doit être qualifié de limite, ce qui autorise encore l'octroi du sursis. S'agissant d'un cas limite, la durée du délai d'épreuve, qui ne saurait être trop courte, sera arrêtée à quatre ans. L'appel sera donc admis dans cette mesure.</w:t>
      </w:r>
    </w:p>
    <w:p>
      <w:r>
        <w:rPr>
          <w:b/>
        </w:rPr>
        <w:t>E. 3</w:t>
      </w:r>
    </w:p>
    <w:p>
      <w:r>
        <w:t>L'appelant, qui n'obtient que partiellement gain de cause, supportera la moitié des frais de la procédure envers l'État (art. 428 CPP), comprenant un émolument de CHF 1'200.- (art. 14 al. 1 let. e du règlement fixant le tarif des frais en matière pénale du 22 décembre 2010 (RTFMP - E 4 10.03).</w:t>
      </w:r>
    </w:p>
    <w:p>
      <w:r>
        <w:rPr>
          <w:b/>
        </w:rPr>
        <w:t>E. 4</w:t>
      </w:r>
    </w:p>
    <w:p>
      <w:r>
        <w:t>décembre 2013 consid. 4.2) ; - les recherches juridiques dans une affaire ne présentant aucune complexité, l'examen de l'ordonnance du 11 novembre 2014 qui ne faisait qu'appointer les débats, en l'absence de tout incident ou réquisition de preuve, ainsi que la rédaction d'une note, ces postes relevant du forfait précité ; - l'examen du présent arrêt, la simple lecture, s'agissant d'une décision courte pour une affaire sans complexité, en étant aussi couverte par ledit forfait alors qu'un examen plus poussé, en vue d'un éventuel recours au Tribunal fédéral ne relèverait pas de l'activité devant les autorités cantonales ; - 30 des 45 minutes facturées pour la présence à l'audience, celle-ci n'ayant durée que 12 minutes. Ces déductions effectuées, l'activité déployée en deuxième instance par la défense d'office de l'appelant couverte par l'assistance juridique sera donc arrêtée à une heure pour le chef d'étude et deux heures 45 pour l'avocate-stagiaire. 4.2.2. Au-delà de l'invocation d'un "consensus fédéral", guère déterminant dès lors que la loi renvoie au tarif du canton du for du procès (art. 135 al. 1 CPP), le défenseur d'office n'établit pas que le taux horaire de CHF 65.- appliqué à Genève ne couvrirait pas adéquatement les opérations effectuées par les avocats-stagiaires, de sorte qu'il n'y a pas de raison de s'écarter du règlement cantonal. La rémunération sera ainsi arrêtée à CHF 378.75 (CHF 200.- + CHF 178.75) plus le forfait par 20% soit CHF 75.75. L'indemnité totale est ainsi de CHF 454.50.-. 4.2.3. Il n'y a pas lieu à couverture de la TVA, vu le domicile à l'étranger de l'appelant. * * * * *</w:t>
      </w:r>
    </w:p>
    <w:p>
      <w:r>
        <w:t>- 14/16 - P/965/2013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