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AARP/124/2020 vom 24. März 2020</w:t>
      </w:r>
    </w:p>
    <w:p>
      <w:r>
        <w:t>GE Cour de justice, 2020-03-24, FR</w:t>
      </w:r>
    </w:p>
    <w:p>
      <w:r>
        <w:rPr>
          <w:b/>
        </w:rPr>
        <w:t xml:space="preserve">Quelle: </w:t>
      </w:r>
      <w:r>
        <w:t>https://mcp.opencaselaw.ch/entscheid/ge_gerichte_AARP_124_2020</w:t>
      </w:r>
    </w:p>
    <w:p>
      <w:r>
        <w:t>FR: GE_GERICHTE AARP/124/2020 du 24 mars 2020</w:t>
      </w:r>
    </w:p>
    <w:p>
      <w:r>
        <w:t>IT: GE_GERICHTE AARP/124/2020 del 24 marzo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1er janvier 2018, sont entrées en vigueur des nouvelles dispositions sur le droit des sanctions.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6B_503/2012 du 18 avril 2013 consid. 8.1). Lorsqu'une nouvelle loi entre en vigueur pendant l'exécution d'un délit continu, il convient de prendre en compte le nouveau droit uniquement (AARP/314/2018 du 1er octobre 2018 consid. 2.2 et 2.3 ; M. DUPUIS / L.</w:t>
      </w:r>
    </w:p>
    <w:p>
      <w:r>
        <w:t>- 5/12 - P/2232/2019 MOREILLON / C. PIGUET / S. BERGER / M. MAZOU / V. RODIGARI, Code pénal, Petit Commentaire, Bâle 2017, n. 19 ad art. 2 et les références citées ; voir aussi arrêt du Tribunal fédéral 6B_196/2012 du 24 janvier 2013 consid. 1.3).</w:t>
      </w:r>
    </w:p>
    <w:p>
      <w:r>
        <w:rPr>
          <w:b/>
        </w:rPr>
        <w:t>E. 2.2</w:t>
      </w:r>
    </w:p>
    <w:p>
      <w:r>
        <w:t>L'infraction de séjour illégal (art. 115 al. 1 let. b LEI), considérée comme un délit de durée, soit un délit continu (ATF 135 IV 6 consid. 3.2), prévoit une peine privative de liberté d'un au plus ou une peine pécuniaire.</w:t>
      </w:r>
    </w:p>
    <w:p>
      <w:r>
        <w:rPr>
          <w:b/>
        </w:rPr>
        <w:t>E. 2.3</w:t>
      </w:r>
    </w:p>
    <w:p>
      <w:r>
        <w:t>En l'espèce, les faits reprochés à l'appelant sont à la fois antérieurs et postérieurs à l'entrée en vigueur du nouveau droit des sanctions. Or, seul un délit continu (le séjour illégal) a été commis entre le 14 novembre 2013 et le 21 mai 2019. L'empêchement d'accomplir un acte officiel et la contravention à la LStup ont été perpétrés après l'entrée en vigueur de la réforme. Les nouvelles dispositions sur le droit des sanctions seront ainsi applicables à l'ensemble des infractions du cas d'espèce, sans que l'exception de la lex mitior ne doive être examinée.</w:t>
      </w:r>
    </w:p>
    <w:p>
      <w:r>
        <w:t>2.4.1.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2.4.2.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4e éd., Bâle 2019, n. 130 s. ad art. 47 CP). En général, la culpabilité de l'auteur est amplifiée du fait qu'il n'a pas tenu compte de</w:t>
      </w:r>
    </w:p>
    <w:p>
      <w:r>
        <w:t>- 6/12 - P/2232/2019 l'avertissement constitué par la précédente condamnation, et sa rechute témoigne d'une énergie criminelle accrue (R. ROTH / L. MOREILLON [éds], Code pénal I : art. 1-100 CP, Bâle 2009, n. 55 ad art. 47 CP). 2.4.3.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 pas plus que sa situation économique ou le fait que son insolvabilité apparaisse prévisible (ATF 134 IV 97 consid. 5.2.3 p. 104). 2.5.1. Si, durant le délai d’épreuve, le détenu libéré conditionnellement commet un crime ou un délit, le juge qui connaît de la nouvelle infraction ordonne sa réintégration dans l’établissement (art. 89 al. 1 CP). 2.5.2.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sont applicables (art. 89 al. 2 CP). 2.5.3. La réintégration ne peut plus être ordonnée lorsque trois ans se sont écoulés depuis l’expiration du délai d’épreuve (art. 89 al. 4 CP).</w:t>
      </w:r>
    </w:p>
    <w:p>
      <w:r>
        <w:t>- 7/12 - P/2232/2019 La réintégration ou les mesures de substitution de l'art. 89 al. 2 CP doivent pouvoir être ordonnées lorsque les motifs de révocation sont connus ou découverts moins de trois ans après l'expiration du délai d'épreuve (M. DUPUIS / L. MOREILLON / C. PIGUET / S. BERGER / M. MAZOU / V. RODIGARI, op. cit., n. 10 ad art. 89 et les références citées).</w:t>
      </w:r>
    </w:p>
    <w:p>
      <w:r>
        <w:rPr>
          <w:b/>
        </w:rPr>
        <w:t>E. 2.6</w:t>
      </w:r>
    </w:p>
    <w:p>
      <w:r>
        <w:t>En l'espèce, la faute de l'appelant est importante, dans la mesure où il a persisté à séjourner en Suisse illégalement durant plus de cinq ans, ce qui dénote une intensité délictuelle importante. Son mobile relève de son seul agrément de rester sur le territoire suisse. La précarité de sa situation personnelle est la conséquence de sa décision de rester illégalement en Suisse. Sa collaboration ne peut être qualifiée de bonne. Il a certes reconnu les faits qui lui étaient reprochés, mais pouvait difficilement les contester compte tenu des circonstances de ses interpellations des 4 février et 21 mai 2019. Sa prise de conscience est inexistante, dès lors qu'il persiste dans ses comportements illégaux en dépit de condamnations prononcées antérieurement pour des infractions similaires. Ses précédentes condamnations pour violation de la LEI, au nombre de trois depuis 2012, à une peine pécuniaire et à deux peines privatives de liberté, ne l'ont pas dissuadé de récidiver. Aucune circonstance atténuante n'est réalisée, ni d'ailleurs plaidée. Dans cette configuration, une peine pécuniaire n'est pas adaptée. Seule une peine privative de liberté parait de nature à remplir son rôle de prévention spéciale. De surcroît, l'appelant ne pourra vraisemblablement pas s'acquitter d'une peine pécuniaire, étant dépourvu de revenu. Si, comme il l'allègue, ses amis étaient réellement en mesure de lui verser de l'argent, l'on comprend mal pourquoi il a déclaré solliciter l'aide d'institutions caritatives et vendre des objets trouvés dans la rue pour survivre. De plus, la sanction qui serait en définitive supportée par des proches n'atteindrait assurément pas le but de prévention spéciale voulu. Les conditions du sursis (art. 42 CP), auquel l'appelant ne conclut d'ailleurs à juste titre pas, ne sont manifestement pas remplies, compte tenu en particulier de ses antécédents spécifiques. Au vu de ce qui précède, c'est une peine privative de liberté de deux mois qui doit sanctionner le séjour illégal. S'agissant de la révocation de la libération conditionnelle, elle ne pouvait pas être ordonnée, dans la mesure où plus de trois ans se sont écoulés entre l'expiration du délai d'épreuve, à savoir, à tout le moins, le</w:t>
      </w:r>
    </w:p>
    <w:p>
      <w:r>
        <w:t>- 8/12 - P/2232/2019 13 novembre 2014, soit un an après la date d'exécution de la libération conditionnelle ordonnée le 8 novembre 2013 et la découverte des faits reprochés, soit, au plus tôt, la première interpellation du 4 février 2019. Partant, il n'y a pas lieu de statuer sur ce point dans le dispositif. La renonciation à la révocation du sursis assortissant la peine pécuniaire prononcée le 7 septembre 2012 est en toute hypothèse acquise à l'appelant (art. 391 al. 2 CPP), cette révocation n'étant pas non plus possible (art. 46 al. 5 CP), puisque, à nouveau, les motifs de révocation ont été découverts plus de trois ans après l'expiration du délai d'épreuve de trois ans, à savoir le 7 septembre 2015. Il n'y a donc pas lieu non plus de mentionner ce point dans le dispositif. Concernant la peine pécuniaire et l'amende sanctionnant les infractions d'empêchement d'accomplir un acte officiel, respectivement de contravention à la LStup, non contestées par l'appelant, compte tenu des éléments exposés ci-dessus, les 20 jours-amende à CHF 10.- l'unité et le montant de CHF 300.- fixé par le premier juge consacrent une application correcte de la loi et seront confirmées. En effet, dans la situation qui est celle du prévenu, ces sanctions apparaissent à la fois dissuasives et adaptées à sa situation personnelle. L'appel du prévenu sera donc partiellement admis et le jugement entrepris réformé dans la mesure qui précède.</w:t>
      </w:r>
    </w:p>
    <w:p>
      <w:r>
        <w:rPr>
          <w:b/>
        </w:rPr>
        <w:t>E. 3</w:t>
      </w:r>
    </w:p>
    <w:p>
      <w:r>
        <w:t>Dans ces conditions, un tiers des frais de la procédure d'appel, comprenant un émolument de CHF 1'500.-, sera mis à la charge de l'appelant, le solde étant laissé à la charge de l'Etat, cela sans incidence sur la répartition des frais de première instance vu la culpabilité inchangée (art. 428 CPP et art. 14 al. 1 let. e du Règlement fixant le tarif des frais en matière pénale ; E 4 10.03).</w:t>
      </w:r>
    </w:p>
    <w:p>
      <w:r>
        <w:rPr>
          <w:b/>
        </w:rPr>
        <w:t>E. 4.1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débours de l'étude inclus, de CHF 110.- pour l'avocat stagiaire (let. a).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w:t>
      </w:r>
    </w:p>
    <w:p>
      <w:r>
        <w:t>- 9/12 - P/2232/2019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4.2</w:t>
      </w:r>
    </w:p>
    <w:p>
      <w:r>
        <w:t>En l’occurrence, l’état de frais produit par le conseil de l’appelant paraît adéquat et conforme aux dispositions et principes qui précèdent, de sorte qu’il sera admis sans en reprendre le détail.</w:t>
      </w:r>
    </w:p>
    <w:p>
      <w:r>
        <w:t>En conclusion, l'indemnité sera arrêtée à CHF 355.40 correspondant à 2h30 d'activité au tarif de CHF 110.-/heure (CHF 275.-) plus la majoration forfaitaire de 20% (CHF 55.-) et l'équivalent de la TVA au taux de 7.7% en CHF 25.40. * * * * *</w:t>
      </w:r>
    </w:p>
    <w:p>
      <w:r>
        <w:t>- 10/12 - P/2232/2019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