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AARP/124/2017 vom 24. April 2017</w:t>
      </w:r>
    </w:p>
    <w:p>
      <w:r>
        <w:t>GE Cour de justice, 2017-04-24, FR</w:t>
      </w:r>
    </w:p>
    <w:p>
      <w:r>
        <w:rPr>
          <w:b/>
        </w:rPr>
        <w:t xml:space="preserve">Quelle: </w:t>
      </w:r>
      <w:r>
        <w:t>https://mcp.opencaselaw.ch/entscheid/ge_gerichte_AARP_124_2017</w:t>
      </w:r>
    </w:p>
    <w:p>
      <w:r>
        <w:t>FR: GE_GERICHTE AARP/124/2017 du 24 avril 2017</w:t>
      </w:r>
    </w:p>
    <w:p>
      <w:r>
        <w:t>IT: GE_GERICHTE AARP/124/2017 del 24 aprile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- 5/14 - P/13838/2015</w:t>
      </w:r>
    </w:p>
    <w:p>
      <w:r>
        <w:rPr>
          <w:b/>
        </w:rPr>
        <w:t>E. 2</w:t>
      </w:r>
    </w:p>
    <w:p>
      <w:r>
        <w:t>2.1.1. Le principe in dubio pro reo,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t>2.1.2.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et les arrêts cités).</w:t>
      </w:r>
    </w:p>
    <w:p>
      <w:r>
        <w:t>Le principe de la bonne foi s'oppose toutefois à ce qu'une partie qui constate un prétendu vice de procédure ne le signale pas immédiatement, à un moment où il pourrait encore être, le cas échéant, corrigé, mais attende l'issue de la procédure pour l'invoquer ultérieurement si celle-ci lui a été défavorable (ATF 135 III 334 consid.</w:t>
      </w:r>
    </w:p>
    <w:p>
      <w:r>
        <w:rPr>
          <w:b/>
        </w:rPr>
        <w:t>E. 2.2</w:t>
      </w:r>
    </w:p>
    <w:p>
      <w:r>
        <w:t>p. 336 ; arrêts du Tribunal fédéral 6B_71/2016 du 5 avril 2017 consid. 2.3.1 et 6B_93/2014 du 21 août 2014 consid. 3.2).</w:t>
      </w:r>
    </w:p>
    <w:p>
      <w:r>
        <w:rPr>
          <w:b/>
        </w:rPr>
        <w:t>E. 2.2.1</w:t>
      </w:r>
    </w:p>
    <w:p>
      <w:r>
        <w:t>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- 6/14 - P/13838/2015</w:t>
      </w:r>
    </w:p>
    <w:p>
      <w:r>
        <w:t>L'al. 3 est toujours applicable lorsque la vitesse maximale autorisée a été dépassée: d'au moins 50 km/h, là où la limite était fixée à 50 km/h et d'au moins 60 km/h, là où la limite était fixée à 80 km/h (art. 90 al. 4 let. b et c LCR).</w:t>
      </w:r>
    </w:p>
    <w:p>
      <w:r>
        <w:rPr>
          <w:b/>
        </w:rPr>
        <w:t>E. 2.2.2</w:t>
      </w:r>
    </w:p>
    <w:p>
      <w:r>
        <w:t>L'art. 90 al. 3 et 4 LCR, entré en vigueur le 1er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ainsi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2.2.3</w:t>
      </w:r>
    </w:p>
    <w:p>
      <w:r>
        <w:t>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sur le contrôle de la circulation routière du 28 mars 2007 (OCCR - RS 741.013). Conformément à l'art. 9 al. 2 OCCR, pour les contrôles effectués à l'aide de moyens techniques, l'OFROU fixe, en accord avec l'Office fédéral de métrologie (METAS), les modalités d'exécution et la procédure qui s'y rapporte (let.</w:t>
      </w:r>
    </w:p>
    <w:p>
      <w:r>
        <w:t>- 7/14 - P/13838/2015 a) ainsi que les exigences liées aux systèmes et aux genres de mesures et les marges d'erreur inhérentes aux appareils et aux mesures (let. b). L'OFROU fixe les exigences posées au personnel chargé des contrôles et de l'évaluation (al. 3).</w:t>
      </w:r>
    </w:p>
    <w:p>
      <w:r>
        <w:t>Sur cette base, cet office a édicté, le 22 mai 2008, une ordonnance (OOCCR-OFROU - RS 741.013.1), ainsi qu'en accord avec le METAS, des instructions concernant les contrôles de vitesse par la police et la surveillance de la circulation aux feux rouges. Les art. 2 à 4 OOCCR-OFROU précisent notamment les compétences que doit revêtir le personnel chargé des contrôles et de l'évaluation (art. 2), les exigences posées aux méthodes et systèmes de mesure (art. 3) et disposent que toute infraction constatée par un système de mesure doit être saisie de manière à ce que les valeurs mesurées puissent être affectées sans le moindre doute à un véhicule ou à un conducteur spécifique (art. 4). D'autres prescriptions sur les appareils utilisés pour les contrôles de vitesses sont contenues dans l'ordonnance du DFJP du 28 novembre 2008 sur les instruments de mesure de vitesse (RS 941.261), qui prévoit notamment qu'ils doivent être vérifiés tous les ans (art. 6 al. 2 let. a).</w:t>
      </w:r>
    </w:p>
    <w:p>
      <w:r>
        <w:t>Selon la jurisprudence, les instructions techniques, comme celles concernant les contrôles de vitesse émises le 22 mai 2008 par l'OFROU,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(arrêt du Tribunal fédéral 6B_1177/2013 du 12 mai 2014 consid. 3.2).</w:t>
      </w:r>
    </w:p>
    <w:p>
      <w:r>
        <w:t>2.3.1. L'appelant n'a jamais contesté avoir circulé au guidon de son motocycle à une vitesse excessive lors du contrôle effectué, ayant au contraire admis les faits, en expliquant avoir commis une grosse erreur et fait preuve d'inattention. Il n'a pas non plus requis une quelconque mesure d'instruction tout au long de la procédure, ni laissé entendre qu'il doutait du bon fonctionnement du radar le jour des faits, indiquant même n'avoir rien à dire au sujet de la procédure de contrôle. S'il s'est, dans un second temps, déclaré surpris de l'ampleur du dépassement de vitesse, il n'a pas pour autant prétendu qu'il ne pouvait s'expliquer que par une défaillance de l'appareil de mesure. Il ressort au demeurant du procès-verbal de mesures de vitesse que le radar utilisé avait été étalonné le 16 décembre 2014, soit moins de six mois avant la date du contrôle, et n'avait donc en principe pas à faire l'objet d'une vérification supplémentaire avant l'échéance du délai d'un an. De manière plus générale, s'il était loisible à l'appelant de demander la production des documents devant permettre de s'assurer du respect des différentes recommandations émises en la matière par l'OFROU, telles les photographies prises par le radar ou encore les pièces devant attester que l'opérateur chargé du contrôle avait bien suivi une</w:t>
      </w:r>
    </w:p>
    <w:p>
      <w:r>
        <w:t>- 8/14 - P/13838/2015 formation idoine, il lui appartenait de le faire d'emblée. De telles mesures d'instruction ne sauraient de bonne foi être sollicitées à un stade de la procédure où elles ne sont plus en mesure d'être administrées (cf. arrêt du Tribunal fédéral 1C_516/2009 du 30 août 2010 consid. 2). Par identité de motifs, l'appelant ne saurait tirer argument de l'absence de tels documents pour obtenir son acquittement au bénéfice du doute, d'autant qu'il n'invoque aucun élément concret permettant de douter de l'excès de vitesse commis, tel qu'il ressort des données relevées par la police et retranscrites dans le procès-verbal de mesures de vitesse. Enfin, le jugement français invoqué ne lui est d'aucun secours, puisqu'on ne voit pas en quoi la Chambre de céans pourrait être liée par le fait qu'il a été considéré que certaines prescriptions du droit français avaient été violées et entraînaient l'acquittement d'un automobiliste du fait que celui-ci n'avait "reçu aucune information tant sur la date d'homologation que sur la date de vérification initiale du cinémomètre fixe (…), ni sur l'identité de l'organisme qui en aurait vérifié le bon fonctionnement initial", cas qui n'est de surcroît pas comparable à celui d'espèce, notamment pour les motifs précédemment exposés.</w:t>
      </w:r>
    </w:p>
    <w:p>
      <w:r>
        <w:t>2.3.2. Il convient ainsi de retenir que l'appelant a circulé au guidon de sa moto de grosse cylindrée à une vitesse dépassant de 73 km/h la vitesse autorisée, marge d'erreur déduite. Cet excès de vitesse entre largement dans les prescriptions de l'art. 90 al. 3 et al. 4 LCR, dont les conditions sont objectivement réalisées.</w:t>
      </w:r>
    </w:p>
    <w:p>
      <w:r>
        <w:t>Selon le Tribunal fédéral,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en l'espèce, l'appelant n'allègue aucune des circonstances visées par la jurisprudence. Il se rendait chez sa mère en fin de journée, sur une route qu'il devait bien connaître, allant jusqu'à préciser qu'il n'était nullement pressé ce soir-là. Il n'a invoqué aucun motif qui aurait pu l'amener à rouler très vite ou à accélérer fortement, ni mis en cause un éventuel dysfonctionnement de son véhicule. L'excès de vitesse a donc été commis par pure convenance personnelle ou désinvolture, fût-elle momentanée. La bonne visibilité de la route et l'absence de trafic évoquées par l'appelant ne lui sont d'aucun secours, étant encore relevé que la présence d'un piéton ou d'un cycliste, comme d'ailleurs de tout autre obstacle est plus difficile à apercevoir de nuit. L'appelant n'a jamais prétendu ignorer les dangers de la vitesse excessive sur la route, de sorte qu'il ne pouvait qu'être conscient de la nature fondamentale pour la sécurité routière des règles s'y rapportant, qu'il a nonobstant enfreintes. Il devait ainsi tenir pour possible le risque d'accident pouvant entraîner de graves blessures ou la mort, et s'en est accommodé. Il s'ensuit que l'infraction a bien été commise intentionnellement, soit par dol éventuel. Le verdict de culpabilité prononcé en première instance doit ainsi être confirmé.</w:t>
      </w:r>
    </w:p>
    <w:p>
      <w:r>
        <w:t>- 9/14 - P/13838/2015</w:t>
      </w:r>
    </w:p>
    <w:p>
      <w:r>
        <w:rPr>
          <w:b/>
        </w:rPr>
        <w:t>E. 3</w:t>
      </w:r>
    </w:p>
    <w:p>
      <w:r>
        <w:t>Le premier juge a arrêté la peine de l'appelant à un an de privation de liberté, soit le minimum fixé par la loi, et l'a mis au bénéfice du sursis, assorti d'un délai d'épreuve de trois ans. Cette décision, qui est adéquate au vu de la faute de l'appelant, lui est acquise (art. 391 al. 2 CPP). La peine pécuniaire qui lui a été infligée à titre de sanction immédiate, non contestée en tant que telle, apparaît également appropriée, étant au demeurant modeste.</w:t>
      </w:r>
    </w:p>
    <w:p>
      <w:r>
        <w:rPr>
          <w:b/>
        </w:rPr>
        <w:t>E. 4</w:t>
      </w:r>
    </w:p>
    <w:p>
      <w:r>
        <w:t>L'appelant, qui succombe, sera condamné aux frais de la procédure d'appel, qui comprennent un émolument de CHF 1'500.- (art. 428 al. 1 CPP et 14 al. 1 let. e du règlement fixant le tarif des frais en matière pénale du 22 décembre 2010 [RTFMP - RS/GE E 4 10.03]).</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En vertu de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t>Sont en principe aussi inclus dans le forfait d'autres documents ne nécessitant pas ou peu de motivation ou autre investissement particulier en termes de travail juridique, telle l'annonce d'appel (AARP/184/2016 du 28 avril 2016 consid. 5.2.3.2 et 5.3.1,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Il en va de même de la réception et lecture de pièces, procès-verbaux, ordonnances et jugements, plus particulièrement lorsqu'ils ne tiennent que sur quelques pages (AARP/425/2013 du 12 septembre 2013, AARP/142/2016 du 14 avril 2016 consid. 5.4.1, AARP/272/2015 du 1er juin</w:t>
      </w:r>
    </w:p>
    <w:p>
      <w:r>
        <w:t>- 10/14 - P/13838/2015 2015), sous réserve des cas où un examen plus poussé s'imposait, notamment aux fins de déterminer l'opportunité d'un recours au plan cantonal, charge à l'avocat d'en justifier (AARP/184/2016 du 28 avril 2016 consid. 5.3.1 et AARP/158/2016 du 22 avril 2016 consid. 6.3).</w:t>
      </w:r>
    </w:p>
    <w:p>
      <w:r>
        <w:t>En revanche, la consultation et l'étude du dossier ne sont pas compris dans la majoration forfaitaire et doivent par conséquent être indemnisés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5.1.3. De manière plus générale,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w:t>
      </w:r>
    </w:p>
    <w:p>
      <w:r>
        <w:t>- 11/14 - P/13838/2015 consid. 5.2.3 et 5.3, AARP/187/2016 du 11 mai 2016 et AARP/204/2016 du 9 mai 2016 consid. 7.2.3 et 7.3.</w:t>
      </w:r>
    </w:p>
    <w:p>
      <w:r>
        <w:t>Le régime applicable aux visites des clients en détention provisoire (une visite par mois admise) ne s'applique pas au détenu condamné, par exemple celui qui agit en révision ou plaide l'octroi de la libération conditionnelle, ni aux autres justiciables ; seules seront donc retenues la/les visite(s) effectivement nécessaire(s) à la procédure, telle la préparation de la demande de révision ou d'audiences (AARP/168/2016 du 26 avril 2016 consid. 4.2 et AARP/526/2015 du 7 décembre 2015 consid 4.3.1 ; AARP/571/2014 du 29 décembre 2014 consid. 4.1.3 confirmé par la décision de la Cour des plaintes du Tribunal pénal fédéral BB.2015.8 du 21 juillet 2015 consid. 7.2).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(AARP/72/2017 consid. 2.3, à la suite de la décision de la Cour des plaintes du Tribunal pénal fédéral BB.2016.39 consid. 7.2).</w:t>
      </w:r>
    </w:p>
    <w:p>
      <w:r>
        <w:rPr>
          <w:b/>
        </w:rPr>
        <w:t>E. 5.2</w:t>
      </w:r>
    </w:p>
    <w:p>
      <w:r>
        <w:t>En l'espèce, l'état de frais du défenseur d'office de l'appelant est clairement excessif, d'autant que près de 17 heures d'activité ont déjà été admises en première instance, comprenant notamment 2 heures et 15 minutes pour l'étude du dossier et de l'acte d'accusation et sept entretiens avec le client sur les douze facturés. Le temps consacré à la rédaction de l'annonce et de la déclaration d'appel est une prestation</w:t>
      </w:r>
    </w:p>
    <w:p>
      <w:r>
        <w:t>- 12/14 - P/13838/2015 comprise dans la majoration forfaitaire pour l'activité diverse, et il en va pour l'essentiel de même de celui relatif à l'"étude du jugement attaqué et du dossier pour appel", la décision attaquée (7 pages, y compris la page de garde et le dispositif) et le dossier, qui n'a connu aucune évolution depuis celle-ci, étant particulièrement succincts, de sorte que seules 30 minutes d'activité seront admises à ce titre. Il sera encore tenu compte de 3 heures pour la préparation des débats d'appel et de 30 minutes pour la durée effective de ceux-ci, vacation de CHF 50.- en sus, étant relevé que l'Etude de l'avocat concerné se situe à 700 mètres du Palais de justice. L'activité postérieure à l'audience d'appel ou au présent arrêt n'a pas à être indemnisée par l'assistance juridique. Enfin, un seul entretien avec le client de 1 heure et 30 minutes sera admis, ce temps apparaissant amplement suffisant tant pour déterminer l'opportunité de faire appel que pour la préparation de l'audience, d'autant que le défenseur d'office n'a posé aucune question à ce dernier au cours de celle-ci.</w:t>
      </w:r>
    </w:p>
    <w:p>
      <w:r>
        <w:t>En conclusion, l'indemnité de Me B______ sera arrêtée à CHF 1'490.40, correspondant à 5 heures et 30 minutes d'activité au tarif de CHF 200.-/heure, plus la vacation, la majoration forfaitaire de 20 % et l'équivalent de la TVA au taux de 8% en CHF 110.40. * * * * *</w:t>
      </w:r>
    </w:p>
    <w:p>
      <w:r>
        <w:t>- 13/14 - P/13838/2015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