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AARP/123/2017 vom 13. April 2017</w:t>
      </w:r>
    </w:p>
    <w:p>
      <w:r>
        <w:t>GE Cour de justice, 2017-04-13, FR</w:t>
      </w:r>
    </w:p>
    <w:p>
      <w:r>
        <w:rPr>
          <w:b/>
        </w:rPr>
        <w:t xml:space="preserve">Quelle: </w:t>
      </w:r>
      <w:r>
        <w:t>https://mcp.opencaselaw.ch/entscheid/ge_gerichte_AARP_123_2017</w:t>
      </w:r>
    </w:p>
    <w:p>
      <w:r>
        <w:t>FR: GE_GERICHTE AARP/123/2017 du 13 avril 2017</w:t>
      </w:r>
    </w:p>
    <w:p>
      <w:r>
        <w:t>IT: GE_GERICHTE AARP/123/2017 del 13 aprile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la question de la culpabilité, le cas échéant en rapport avec chacun des actes (a), la quotité de la peine (b), les mesures qui ont été ordonnées (c), les prétentions civiles ou certaines d'entre elles (d), les conséquences accessoires du jugement (e), les frais, les indemnités et la réparation du tort moral (f) ou les décisions judiciaires ultérieures (g). (art. 399 al. 4 let. b CPP).</w:t>
      </w:r>
    </w:p>
    <w:p>
      <w:r>
        <w:t>La CPAR limite son examen aux violations décrites dans l'acte d'appel (art. 404 al. 1 CPP), sauf en cas de décisions illégales ou inéquitables (art. 404 al. 2 CPP).</w:t>
      </w:r>
    </w:p>
    <w:p>
      <w:r>
        <w:t>- 7/13 - P/7670/2014</w:t>
      </w:r>
    </w:p>
    <w:p>
      <w:r>
        <w:rPr>
          <w:b/>
        </w:rPr>
        <w:t>E. 2</w:t>
      </w:r>
    </w:p>
    <w:p>
      <w:r>
        <w:t>2.1.1. 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w:t>
      </w:r>
    </w:p>
    <w:p>
      <w:r>
        <w:t>2.1.2. Selon l'art. 399 al. 3 CPP,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(a), les modifications du jugement de première instance qu'elle demande (b) et ses réquisitions de preuves (c).</w:t>
      </w:r>
    </w:p>
    <w:p>
      <w:r>
        <w:rPr>
          <w:b/>
        </w:rPr>
        <w:t>E. 2.2</w:t>
      </w:r>
    </w:p>
    <w:p>
      <w:r>
        <w:t>En l'espèce, les conclusions de A______ visant au prononcé d'une peine pécuniaire sont irrecevables dans la mesure où la peine prononcée par le juge de première instance n'a fait l'objet d'aucun appel, principal ou joint, interjeté dans les délais légaux par l'une ou l'autre des parties. Dans cette mesure, il n'y a pas non plus matière à examiner l'application de l'art. 53 CP qui vise à la renonciation à la poursuite ou à la peine, seule étant litigieuse la question de l'octroi ou non du sursis.</w:t>
      </w:r>
    </w:p>
    <w:p>
      <w:r>
        <w:rPr>
          <w:b/>
        </w:rPr>
        <w:t>E. 3</w:t>
      </w:r>
    </w:p>
    <w:p>
      <w:r>
        <w:t>3.1.1.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3.1.2.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3.1.3. Dans le cadre du pronostic déterminant l'octroi du sursis, les antécédents pénaux ne constituent qu'un élément parmi d'autres. Ils ne l'emportent pas nécessairement sur les autres considérations pertinentes (arrêt du Tribunal fédéral 6B_569/2008 du 24 mars 2009 consid. 2.3 ; R. SCHNEIDER / R. GARRÉ, Basler Kommentar, Strafrecht I, 2e éd., 2007, n. 59 ad art. 42). Pour autant, on ne saurait en</w:t>
      </w:r>
    </w:p>
    <w:p>
      <w:r>
        <w:t>- 8/13 - P/7670/2014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3.1.4. Le fait qu'une précédente condamnation assortie du sursis n'a pas dissuadé l'appelant de persévérer dans des comportements répréhensibles constitue un élément défavorable pertinent pour l'examen du sursis même en relation avec des infractions d'un autre type que celles sanctionnées (arrêt du tribunal fédéral 6B_1045/2008 du 20 mars 2009 consid. 4.4 ; ATF 100 IV 133, consid. 1d, p. 137 ; 98 IV 76 consid. 2, p. 82 ; v. également R. SCHNEIDER / R. GARRÉ, Basler Kommentar, Strafrecht I, 2e éd. 2007, n. 59 ad art. 42). 3.1.5.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3.1.6.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 3.1.7.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3.1.8.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w:t>
      </w:r>
    </w:p>
    <w:p>
      <w:r>
        <w:t>- 9/13 - P/7670/2014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3.1.9. 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w:t>
      </w:r>
    </w:p>
    <w:p>
      <w:r>
        <w:rPr>
          <w:b/>
        </w:rPr>
        <w:t>E. 3.2</w:t>
      </w:r>
    </w:p>
    <w:p>
      <w:r>
        <w:t>En l'espèce, la CPAR relève les éléments suivants :</w:t>
      </w:r>
    </w:p>
    <w:p>
      <w:r>
        <w:t>Les circonstances de l'agression de B______ laissent apparaître que le prévenu a agi de façon gratuite, pour un mobile extrêmement futile, en s'attaquant gravement à une personne. La situation de se livrer à des actes irréfléchis était identique lorsque l'intimé a volontairement jeté des pierres en direction de personnes en juillet 2015, sans considération pour les conséquences éventuelles. Ces éléments témoignent de l'impulsivité du prévenu et de sa facilité à adopter des comportements délictueux. Les infractions dont le prévenu a été reconnu coupable se sont déroulées sur une période pénale étendue. En particulier, il faut relever que l'intimé a été mis en prévention pour agression et lésions corporelles simples aggravées en avril 2014, ce qui ne l'a pas dissuadé de commettre les infractions de dommages à la propriété et de violation grave des règles de la circulation routière dans les mois qui ont suivi. Ces faits témoignent également du peu d'attention portée par l'intéressé lorsqu'il est confronté au respect des normes. En lien avec ce comportement, il y a lieu de relever que les antécédents judiciaires français de l'intimé, bien qu'anciens, voire très anciens, pour certains d'entre eux, sont extrêmement lourds. Il a notamment subi en France, y compris la détention préventive, l'exécution d'une peine de réclusion de 12 ans entre 2002 et 2008, ce qui</w:t>
      </w:r>
    </w:p>
    <w:p>
      <w:r>
        <w:t>- 10/13 - P/7670/2014 ne l'a pas empêché d'être à nouveau condamné en 2008 à une peine de huit mois d'emprisonnement pour des faits de violence commis début novembre 2007. Il a par la suite été condamné à deux reprises en Suisse pour dommages à la propriété et violation grave des règles de la circulation routière, en septembre 2012, respectivement novembre 2014. A cela s'ajoute que les faits pour lesquels le prévenu a été reconnu coupable dans la présente procédure représentent des infractions pour lesquelles il a des antécédents spécifiques. Les informations disponibles au dossier quant à la situation personnelle du prévenu ne permettent pas de considérer qu'un changement est intervenu, laissant concrètement apparaître une évolution positive. En effet, si l'intimé a pu effectuer quelques démarches en vue de maîtriser son problème de violence, il ne ressort aucunement des documents produits qu'un suivi à même de porter des fruits a été entrepris. Au contraire, le fait que le nom de trois thérapeutes différents soit mentionné, sans que ne soit produite une quelconque attestation de suivi thérapeutique, permet de considérer que l'intimé n'a, en réalité, effectué aucune démarche prolongée. A l'examen des divers documents, l'on constate que seul un unique rendez-vous est établi, chez la psychologue H______, le 15 juillet 2016, soit dans la période où devait intervenir l'audience de jugement de première instance. La CPAR ne peut que s'étonner de l'absence, huit mois plus tard, de tout autre document probant sur la démarche soi-disant entreprise. Le seul fait que le prévenu ait un emploi ne peut suffire à faire contrepoids à l'ensemble des éléments précités. De surcroît, la prise de conscience de l'intimé apparaît limitée. Si l'intégralité des actes reprochés ont été admis, cela n'est intervenu que tardivement et après qu'il eut mis en cause la version des faits de la partie plaignante B______ comme étant mensongère. Certes, l'intimé a entrepris l'effort louable de réparer partiellement les conséquences de ses actes, ce qui doit être pris en compte. Mais, pour contrebalancer les éléments portant à considérer un pronostic défavorable, la présence de l'intimé lors des audiences de jugement ou d'appel eut constitué un élément important pour apprécier la réalité de cette prise de conscience, gage d'un changement de comportement. Or ses absences volontaires répétées laissent plutôt apparaître un refus de sa part d'être confronté et d'assumer ses actes, ce qui ne témoigne pas non plus d'une réelle prise de conscience, laissant ainsi la porte ouverte à de nouveaux comportements délictueux. Au vu de tous ces éléments, la CPAR considère que seul un pronostic défavorable peut être émis quant au comportement futur de l'intéressé et que l'appréciation portée par le premier juge sur ce point ne peut être confirmée. Partant, l'intimé ne sera pas mis au bénéfice du sursis pour la peine prononcée et le jugement sera réformé en ce sens. Le sursis étant refusé, il n'y a pas lieu d'ordonner</w:t>
      </w:r>
    </w:p>
    <w:p>
      <w:r>
        <w:t>- 11/13 - P/7670/2014 une règle de conduite au sens de l'art. 44 CP, ce qui conduit également à la réforme du jugement sur cette question.</w:t>
      </w:r>
    </w:p>
    <w:p>
      <w:r>
        <w:rPr>
          <w:b/>
        </w:rPr>
        <w:t>E. 4</w:t>
      </w:r>
    </w:p>
    <w:p>
      <w:r>
        <w:t>L'appel ayant été admis, l'appelant succombe et il sera condamné aux frais de la procédure d'appel, lesquels comprendront un émolument d'arrêt de CHF 1'500.- (art. 428 al. 1 CPP et 14 al. 1 du Règlement fixant le tarif des frais en matière pénale du 22 décembre 2010 [RTFMP ; E 4 10.03]).</w:t>
      </w:r>
    </w:p>
    <w:p>
      <w:r>
        <w:t>* * * * *</w:t>
      </w:r>
    </w:p>
    <w:p>
      <w:r>
        <w:t>- 12/13 - P/7670/2014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